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ivel1"/>
        <w:spacing w:before="0" w:after="0"/>
        <w:ind w:left="680" w:hanging="0"/>
        <w:jc w:val="center"/>
        <w:rPr>
          <w:rFonts w:cs="Arial"/>
          <w:color w:val="auto"/>
        </w:rPr>
      </w:pPr>
      <w:r>
        <w:drawing>
          <wp:anchor behindDoc="1" distT="0" distB="0" distL="133350" distR="118110" simplePos="0" locked="0" layoutInCell="1" allowOverlap="1" relativeHeight="2">
            <wp:simplePos x="0" y="0"/>
            <wp:positionH relativeFrom="column">
              <wp:posOffset>2760980</wp:posOffset>
            </wp:positionH>
            <wp:positionV relativeFrom="paragraph">
              <wp:posOffset>31115</wp:posOffset>
            </wp:positionV>
            <wp:extent cx="815340" cy="836295"/>
            <wp:effectExtent l="0" t="0" r="0" b="0"/>
            <wp:wrapTopAndBottom/>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tretch>
                      <a:fillRect/>
                    </a:stretch>
                  </pic:blipFill>
                  <pic:spPr bwMode="auto">
                    <a:xfrm>
                      <a:off x="0" y="0"/>
                      <a:ext cx="815340" cy="836295"/>
                    </a:xfrm>
                    <a:prstGeom prst="rect">
                      <a:avLst/>
                    </a:prstGeom>
                  </pic:spPr>
                </pic:pic>
              </a:graphicData>
            </a:graphic>
          </wp:anchor>
        </w:drawing>
      </w:r>
      <w:r>
        <w:rPr>
          <w:rFonts w:cs="Arial"/>
          <w:color w:val="auto"/>
        </w:rPr>
        <w:t>M</w:t>
      </w:r>
      <w:r>
        <w:rPr>
          <w:rFonts w:cs="Arial"/>
          <w:color w:val="auto"/>
        </w:rPr>
        <w:t>INISTÉRIO DA DEFESA</w:t>
      </w:r>
    </w:p>
    <w:p>
      <w:pPr>
        <w:pStyle w:val="Nivel1"/>
        <w:spacing w:before="0" w:after="0"/>
        <w:ind w:left="680" w:hanging="0"/>
        <w:jc w:val="center"/>
        <w:rPr>
          <w:rFonts w:cs="Arial"/>
          <w:color w:val="auto"/>
        </w:rPr>
      </w:pPr>
      <w:r>
        <w:rPr>
          <w:rFonts w:cs="Arial"/>
          <w:color w:val="auto"/>
        </w:rPr>
        <w:t>MARINHA DO BRASIL</w:t>
      </w:r>
    </w:p>
    <w:p>
      <w:pPr>
        <w:pStyle w:val="Nivel1"/>
        <w:spacing w:before="0" w:after="0"/>
        <w:ind w:left="680" w:hanging="0"/>
        <w:jc w:val="center"/>
        <w:rPr>
          <w:rFonts w:cs="Arial"/>
          <w:color w:val="auto"/>
        </w:rPr>
      </w:pPr>
      <w:r>
        <w:rPr>
          <w:rFonts w:cs="Arial"/>
          <w:color w:val="auto"/>
        </w:rPr>
      </w:r>
    </w:p>
    <w:p>
      <w:pPr>
        <w:pStyle w:val="Nivel1"/>
        <w:spacing w:before="0" w:after="0"/>
        <w:ind w:left="680" w:hanging="0"/>
        <w:jc w:val="center"/>
        <w:rPr>
          <w:rFonts w:cs="Arial"/>
          <w:color w:val="auto"/>
        </w:rPr>
      </w:pPr>
      <w:r>
        <w:rPr>
          <w:rFonts w:cs="Arial"/>
          <w:color w:val="auto"/>
        </w:rPr>
        <w:t>DIRETORIA DE ABASTECIMENTO DA MARINHA</w:t>
      </w:r>
    </w:p>
    <w:p>
      <w:pPr>
        <w:pStyle w:val="Nivel1"/>
        <w:spacing w:before="0" w:after="0"/>
        <w:ind w:left="680" w:hanging="0"/>
        <w:jc w:val="center"/>
        <w:rPr>
          <w:rFonts w:cs="Arial"/>
          <w:color w:val="auto"/>
        </w:rPr>
      </w:pPr>
      <w:r>
        <w:rPr>
          <w:rFonts w:cs="Arial"/>
          <w:color w:val="auto"/>
        </w:rPr>
      </w:r>
    </w:p>
    <w:p>
      <w:pPr>
        <w:pStyle w:val="Nivel1"/>
        <w:spacing w:before="0" w:after="0"/>
        <w:ind w:left="680" w:hanging="0"/>
        <w:jc w:val="center"/>
        <w:rPr>
          <w:rFonts w:cs="Arial"/>
          <w:color w:val="auto"/>
        </w:rPr>
      </w:pPr>
      <w:r>
        <w:rPr>
          <w:rFonts w:cs="Arial"/>
          <w:color w:val="auto"/>
        </w:rPr>
        <w:t xml:space="preserve">PREGÃO ELETRÔNICO Nº </w:t>
      </w:r>
      <w:r>
        <w:rPr>
          <w:rFonts w:cs="Arial"/>
          <w:color w:val="auto"/>
        </w:rPr>
        <w:t>27</w:t>
      </w:r>
      <w:r>
        <w:rPr>
          <w:rFonts w:cs="Arial"/>
          <w:color w:val="auto"/>
        </w:rPr>
        <w:t>/20</w:t>
      </w:r>
      <w:r>
        <w:rPr>
          <w:rFonts w:cs="Arial"/>
          <w:color w:val="auto"/>
        </w:rPr>
        <w:t>20</w:t>
      </w:r>
    </w:p>
    <w:p>
      <w:pPr>
        <w:pStyle w:val="Nivel1"/>
        <w:spacing w:before="0" w:after="0"/>
        <w:ind w:left="680" w:hanging="0"/>
        <w:jc w:val="right"/>
        <w:rPr>
          <w:rFonts w:cs="Arial"/>
          <w:color w:val="auto"/>
        </w:rPr>
      </w:pPr>
      <w:r>
        <w:rPr>
          <w:rFonts w:cs="Arial"/>
          <w:color w:val="auto"/>
        </w:rPr>
        <w:t>Anexo I</w:t>
      </w:r>
    </w:p>
    <w:p>
      <w:pPr>
        <w:pStyle w:val="Nivel1"/>
        <w:spacing w:before="0" w:after="0"/>
        <w:ind w:left="680" w:hanging="0"/>
        <w:jc w:val="center"/>
        <w:rPr>
          <w:rFonts w:cs="Arial"/>
          <w:bCs/>
          <w:color w:val="auto"/>
        </w:rPr>
      </w:pPr>
      <w:r>
        <w:rPr>
          <w:rFonts w:cs="Arial"/>
          <w:color w:val="auto"/>
        </w:rPr>
        <w:t>TERMO DE REFERÊNCIA</w:t>
      </w:r>
    </w:p>
    <w:p>
      <w:pPr>
        <w:pStyle w:val="Nivel1"/>
        <w:spacing w:before="0" w:after="0"/>
        <w:ind w:left="680" w:hanging="0"/>
        <w:jc w:val="center"/>
        <w:rPr>
          <w:rFonts w:cs="Arial"/>
          <w:color w:val="auto"/>
        </w:rPr>
      </w:pPr>
      <w:r>
        <w:rPr>
          <w:rFonts w:cs="Arial"/>
          <w:color w:val="auto"/>
        </w:rPr>
      </w:r>
    </w:p>
    <w:p>
      <w:pPr>
        <w:pStyle w:val="Nivel1"/>
        <w:spacing w:before="0" w:after="0"/>
        <w:ind w:left="680" w:hanging="0"/>
        <w:jc w:val="center"/>
        <w:rPr>
          <w:rFonts w:cs="Arial"/>
          <w:color w:val="auto"/>
        </w:rPr>
      </w:pPr>
      <w:r>
        <w:rPr>
          <w:rFonts w:cs="Arial"/>
          <w:color w:val="auto"/>
        </w:rPr>
        <w:t>Processo Administrativo n.° 63079.002544/2019-31</w:t>
      </w:r>
    </w:p>
    <w:p>
      <w:pPr>
        <w:pStyle w:val="Nivel1"/>
        <w:numPr>
          <w:ilvl w:val="0"/>
          <w:numId w:val="1"/>
        </w:numPr>
        <w:rPr>
          <w:rFonts w:cs="Arial"/>
          <w:color w:val="auto"/>
        </w:rPr>
      </w:pPr>
      <w:r>
        <w:rPr>
          <w:rFonts w:cs="Arial"/>
          <w:color w:val="auto"/>
        </w:rPr>
        <w:t>DO OBJETO</w:t>
      </w:r>
    </w:p>
    <w:p>
      <w:pPr>
        <w:pStyle w:val="Normal"/>
        <w:numPr>
          <w:ilvl w:val="1"/>
          <w:numId w:val="1"/>
        </w:numPr>
        <w:spacing w:lineRule="auto" w:line="276" w:before="120" w:after="120"/>
        <w:ind w:left="425" w:hanging="0"/>
        <w:jc w:val="both"/>
        <w:rPr>
          <w:rFonts w:cs="Arial"/>
          <w:szCs w:val="20"/>
        </w:rPr>
      </w:pPr>
      <w:r>
        <w:rPr>
          <w:rFonts w:cs="Arial"/>
          <w:szCs w:val="20"/>
        </w:rPr>
        <w:t>Contratação de empresa para prestação de serviços de Seguro Total de veículos pertencentes a esta Diretoria, conforme condições, quantidades e exigências estabelecidas neste instrumento:</w:t>
      </w:r>
    </w:p>
    <w:p>
      <w:pPr>
        <w:pStyle w:val="Normal"/>
        <w:spacing w:lineRule="auto" w:line="276" w:before="120" w:after="120"/>
        <w:ind w:left="425" w:hanging="0"/>
        <w:jc w:val="both"/>
        <w:rPr>
          <w:rFonts w:cs="Arial"/>
          <w:szCs w:val="20"/>
        </w:rPr>
      </w:pPr>
      <w:r>
        <w:rPr>
          <w:rFonts w:cs="Arial"/>
          <w:szCs w:val="20"/>
        </w:rPr>
      </w:r>
    </w:p>
    <w:tbl>
      <w:tblPr>
        <w:tblStyle w:val="Tabelacomgrade"/>
        <w:tblW w:w="10115" w:type="dxa"/>
        <w:jc w:val="left"/>
        <w:tblInd w:w="-651" w:type="dxa"/>
        <w:tblCellMar>
          <w:top w:w="0" w:type="dxa"/>
          <w:left w:w="108" w:type="dxa"/>
          <w:bottom w:w="0" w:type="dxa"/>
          <w:right w:w="108" w:type="dxa"/>
        </w:tblCellMar>
        <w:tblLook w:noVBand="1" w:val="04a0" w:noHBand="0" w:lastColumn="0" w:firstColumn="1" w:lastRow="0" w:firstRow="1"/>
      </w:tblPr>
      <w:tblGrid>
        <w:gridCol w:w="924"/>
        <w:gridCol w:w="1187"/>
        <w:gridCol w:w="2303"/>
        <w:gridCol w:w="1219"/>
        <w:gridCol w:w="1054"/>
        <w:gridCol w:w="2326"/>
        <w:gridCol w:w="1"/>
        <w:gridCol w:w="1100"/>
      </w:tblGrid>
      <w:tr>
        <w:trPr/>
        <w:tc>
          <w:tcPr>
            <w:tcW w:w="924" w:type="dxa"/>
            <w:tcBorders/>
            <w:shd w:color="auto" w:fill="B8CCE4" w:themeFill="accent1" w:themeFillTint="66" w:val="clear"/>
          </w:tcPr>
          <w:p>
            <w:pPr>
              <w:pStyle w:val="Normal"/>
              <w:jc w:val="center"/>
              <w:rPr>
                <w:rFonts w:eastAsia="Calibri" w:cs="Arial" w:cstheme="minorBidi" w:eastAsiaTheme="minorHAnsi"/>
                <w:szCs w:val="20"/>
              </w:rPr>
            </w:pPr>
            <w:r>
              <w:rPr>
                <w:rFonts w:eastAsia="Calibri" w:cs="Arial" w:cstheme="minorBidi" w:eastAsiaTheme="minorHAnsi"/>
                <w:b/>
                <w:szCs w:val="20"/>
                <w:lang w:eastAsia="en-US"/>
              </w:rPr>
              <w:t>ITEM</w:t>
            </w:r>
          </w:p>
        </w:tc>
        <w:tc>
          <w:tcPr>
            <w:tcW w:w="1187" w:type="dxa"/>
            <w:tcBorders/>
            <w:shd w:fill="auto" w:val="clear"/>
            <w:vAlign w:val="center"/>
          </w:tcPr>
          <w:p>
            <w:pPr>
              <w:pStyle w:val="Normal"/>
              <w:jc w:val="center"/>
              <w:rPr>
                <w:rFonts w:eastAsia="Calibri" w:cs="Arial" w:cstheme="minorBidi" w:eastAsiaTheme="minorHAnsi"/>
                <w:szCs w:val="20"/>
              </w:rPr>
            </w:pPr>
            <w:r>
              <w:rPr>
                <w:rFonts w:eastAsia="Calibri" w:cs="Arial" w:cstheme="minorBidi" w:eastAsiaTheme="minorHAnsi"/>
                <w:b/>
                <w:szCs w:val="20"/>
                <w:lang w:eastAsia="en-US"/>
              </w:rPr>
              <w:t>PLACA</w:t>
            </w:r>
          </w:p>
        </w:tc>
        <w:tc>
          <w:tcPr>
            <w:tcW w:w="2303" w:type="dxa"/>
            <w:tcBorders/>
            <w:shd w:fill="auto" w:val="clear"/>
            <w:vAlign w:val="center"/>
          </w:tcPr>
          <w:p>
            <w:pPr>
              <w:pStyle w:val="Normal"/>
              <w:jc w:val="center"/>
              <w:rPr>
                <w:rFonts w:eastAsia="Calibri" w:cs="Arial" w:cstheme="minorBidi" w:eastAsiaTheme="minorHAnsi"/>
                <w:szCs w:val="20"/>
              </w:rPr>
            </w:pPr>
            <w:r>
              <w:rPr>
                <w:rFonts w:eastAsia="Calibri" w:cs="Arial" w:cstheme="minorBidi" w:eastAsiaTheme="minorHAnsi"/>
                <w:b/>
                <w:szCs w:val="20"/>
                <w:lang w:eastAsia="en-US"/>
              </w:rPr>
              <w:t>MARCA/MODELO</w:t>
            </w:r>
          </w:p>
        </w:tc>
        <w:tc>
          <w:tcPr>
            <w:tcW w:w="1219" w:type="dxa"/>
            <w:tcBorders/>
            <w:shd w:fill="auto" w:val="clear"/>
            <w:vAlign w:val="center"/>
          </w:tcPr>
          <w:p>
            <w:pPr>
              <w:pStyle w:val="Normal"/>
              <w:jc w:val="center"/>
              <w:rPr>
                <w:rFonts w:eastAsia="Calibri" w:cs="Arial" w:cstheme="minorBidi" w:eastAsiaTheme="minorHAnsi"/>
                <w:szCs w:val="20"/>
              </w:rPr>
            </w:pPr>
            <w:r>
              <w:rPr>
                <w:rFonts w:eastAsia="Calibri" w:cs="Arial" w:cstheme="minorBidi" w:eastAsiaTheme="minorHAnsi"/>
                <w:b/>
                <w:szCs w:val="20"/>
                <w:lang w:eastAsia="en-US"/>
              </w:rPr>
              <w:t>ANO/FAB</w:t>
            </w:r>
          </w:p>
        </w:tc>
        <w:tc>
          <w:tcPr>
            <w:tcW w:w="1054" w:type="dxa"/>
            <w:tcBorders/>
            <w:shd w:fill="auto" w:val="clear"/>
          </w:tcPr>
          <w:p>
            <w:pPr>
              <w:pStyle w:val="Normal"/>
              <w:jc w:val="center"/>
              <w:rPr>
                <w:rFonts w:eastAsia="Calibri" w:cs="Arial" w:cstheme="minorBidi" w:eastAsiaTheme="minorHAnsi"/>
                <w:szCs w:val="20"/>
              </w:rPr>
            </w:pPr>
            <w:r>
              <w:rPr>
                <w:rFonts w:eastAsia="Calibri" w:cs="Arial" w:cstheme="minorBidi" w:eastAsiaTheme="minorHAnsi"/>
                <w:b/>
                <w:szCs w:val="20"/>
                <w:lang w:eastAsia="en-US"/>
              </w:rPr>
              <w:t>BÔNUS</w:t>
            </w:r>
          </w:p>
        </w:tc>
        <w:tc>
          <w:tcPr>
            <w:tcW w:w="2327" w:type="dxa"/>
            <w:gridSpan w:val="2"/>
            <w:tcBorders/>
            <w:shd w:fill="auto" w:val="clear"/>
            <w:vAlign w:val="center"/>
          </w:tcPr>
          <w:p>
            <w:pPr>
              <w:pStyle w:val="Normal"/>
              <w:jc w:val="center"/>
              <w:rPr>
                <w:rFonts w:eastAsia="Calibri" w:cs="Arial" w:cstheme="minorBidi" w:eastAsiaTheme="minorHAnsi"/>
                <w:szCs w:val="20"/>
              </w:rPr>
            </w:pPr>
            <w:r>
              <w:rPr>
                <w:rFonts w:eastAsia="Calibri" w:cs="Arial" w:cstheme="minorBidi" w:eastAsiaTheme="minorHAnsi"/>
                <w:b/>
                <w:szCs w:val="20"/>
                <w:lang w:eastAsia="en-US"/>
              </w:rPr>
              <w:t>CHASSI</w:t>
            </w:r>
          </w:p>
        </w:tc>
        <w:tc>
          <w:tcPr>
            <w:tcW w:w="1100" w:type="dxa"/>
            <w:tcBorders/>
            <w:shd w:fill="auto" w:val="clear"/>
            <w:vAlign w:val="center"/>
          </w:tcPr>
          <w:p>
            <w:pPr>
              <w:pStyle w:val="Normal"/>
              <w:jc w:val="center"/>
              <w:rPr>
                <w:rFonts w:eastAsia="Calibri" w:cs="Arial" w:cstheme="minorBidi" w:eastAsiaTheme="minorHAnsi"/>
                <w:szCs w:val="20"/>
              </w:rPr>
            </w:pPr>
            <w:r>
              <w:rPr>
                <w:rFonts w:eastAsia="Calibri" w:cs="Arial" w:cstheme="minorBidi" w:eastAsiaTheme="minorHAnsi"/>
                <w:b/>
                <w:szCs w:val="20"/>
                <w:lang w:eastAsia="en-US"/>
              </w:rPr>
              <w:t>PRÊMIO R$</w:t>
            </w:r>
          </w:p>
        </w:tc>
      </w:tr>
      <w:tr>
        <w:trPr/>
        <w:tc>
          <w:tcPr>
            <w:tcW w:w="924" w:type="dxa"/>
            <w:tcBorders>
              <w:top w:val="nil"/>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1</w:t>
            </w:r>
          </w:p>
        </w:tc>
        <w:tc>
          <w:tcPr>
            <w:tcW w:w="1187" w:type="dxa"/>
            <w:tcBorders>
              <w:top w:val="nil"/>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KYY8738</w:t>
            </w:r>
          </w:p>
        </w:tc>
        <w:tc>
          <w:tcPr>
            <w:tcW w:w="2303" w:type="dxa"/>
            <w:tcBorders>
              <w:top w:val="nil"/>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TOYOTA / COROLLA GLI UPPER</w:t>
            </w:r>
          </w:p>
        </w:tc>
        <w:tc>
          <w:tcPr>
            <w:tcW w:w="1219" w:type="dxa"/>
            <w:tcBorders>
              <w:top w:val="nil"/>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2018/2018</w:t>
            </w:r>
          </w:p>
        </w:tc>
        <w:tc>
          <w:tcPr>
            <w:tcW w:w="1054" w:type="dxa"/>
            <w:tcBorders>
              <w:top w:val="nil"/>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1</w:t>
            </w:r>
          </w:p>
        </w:tc>
        <w:tc>
          <w:tcPr>
            <w:tcW w:w="2327" w:type="dxa"/>
            <w:gridSpan w:val="2"/>
            <w:tcBorders>
              <w:top w:val="nil"/>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9BRBL3HE8J0145217</w:t>
            </w:r>
          </w:p>
        </w:tc>
        <w:tc>
          <w:tcPr>
            <w:tcW w:w="1100" w:type="dxa"/>
            <w:tcBorders>
              <w:top w:val="nil"/>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2.634,09</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2</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LTI2318</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TOYOTA / COROLLA GLI UPPER</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2017/2018</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9BRBL3HE1J0142854</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2.634,09</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3</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KYS7641</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TOYOTA / COROLLA GLI UPPER</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2017/2018</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9BRBL3HE8J0143063</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2.634,09</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4</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KYG6600</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PEUGEOT 408 ALLURE BVA</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2014/2015</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2</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8AD4DRFJUFG018595</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2.444,50</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5</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KZU7319</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TOYOTA / COROLLA SEG 18VVT</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2006/2007</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2</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9BR53ZEC278657300</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2.259,36</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6</w:t>
            </w:r>
          </w:p>
        </w:tc>
        <w:tc>
          <w:tcPr>
            <w:tcW w:w="1187" w:type="dxa"/>
            <w:tcBorders/>
            <w:shd w:fill="auto" w:val="clear"/>
            <w:vAlign w:val="center"/>
          </w:tcPr>
          <w:p>
            <w:pPr>
              <w:pStyle w:val="Normal"/>
              <w:jc w:val="center"/>
              <w:rPr>
                <w:rFonts w:eastAsia="Calibri"/>
                <w:sz w:val="19"/>
                <w:szCs w:val="19"/>
              </w:rPr>
            </w:pPr>
            <w:r>
              <w:rPr>
                <w:rFonts w:eastAsia="Calibri" w:cs="Arial"/>
                <w:bCs/>
                <w:color w:val="000000"/>
                <w:sz w:val="19"/>
                <w:szCs w:val="19"/>
                <w:lang w:eastAsia="en-US"/>
              </w:rPr>
              <w:t>LMK-1389</w:t>
            </w:r>
          </w:p>
        </w:tc>
        <w:tc>
          <w:tcPr>
            <w:tcW w:w="2303" w:type="dxa"/>
            <w:tcBorders/>
            <w:shd w:fill="auto" w:val="clear"/>
            <w:vAlign w:val="center"/>
          </w:tcPr>
          <w:p>
            <w:pPr>
              <w:pStyle w:val="Normal"/>
              <w:jc w:val="center"/>
              <w:rPr>
                <w:rFonts w:eastAsia="Calibri"/>
                <w:sz w:val="19"/>
                <w:szCs w:val="19"/>
              </w:rPr>
            </w:pPr>
            <w:r>
              <w:rPr>
                <w:rFonts w:eastAsia="Calibri" w:cs="Arial"/>
                <w:bCs/>
                <w:color w:val="000000"/>
                <w:sz w:val="19"/>
                <w:szCs w:val="19"/>
                <w:lang w:eastAsia="en-US"/>
              </w:rPr>
              <w:t>NISSAN / SENTRA2.0 SV CVT</w:t>
            </w:r>
          </w:p>
        </w:tc>
        <w:tc>
          <w:tcPr>
            <w:tcW w:w="1219" w:type="dxa"/>
            <w:tcBorders/>
            <w:shd w:fill="auto" w:val="clear"/>
            <w:vAlign w:val="center"/>
          </w:tcPr>
          <w:p>
            <w:pPr>
              <w:pStyle w:val="Normal"/>
              <w:jc w:val="center"/>
              <w:rPr>
                <w:rFonts w:eastAsia="Calibri"/>
                <w:sz w:val="19"/>
                <w:szCs w:val="19"/>
              </w:rPr>
            </w:pPr>
            <w:r>
              <w:rPr>
                <w:rFonts w:eastAsia="Calibri" w:cs="Arial"/>
                <w:bCs/>
                <w:color w:val="000000"/>
                <w:sz w:val="19"/>
                <w:szCs w:val="19"/>
                <w:lang w:eastAsia="en-US"/>
              </w:rPr>
              <w:t>2016/2017</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2</w:t>
            </w:r>
          </w:p>
        </w:tc>
        <w:tc>
          <w:tcPr>
            <w:tcW w:w="2327" w:type="dxa"/>
            <w:gridSpan w:val="2"/>
            <w:tcBorders/>
            <w:shd w:fill="auto" w:val="clear"/>
            <w:vAlign w:val="center"/>
          </w:tcPr>
          <w:p>
            <w:pPr>
              <w:pStyle w:val="Normal"/>
              <w:jc w:val="center"/>
              <w:rPr>
                <w:rFonts w:eastAsia="Calibri"/>
                <w:sz w:val="19"/>
                <w:szCs w:val="19"/>
              </w:rPr>
            </w:pPr>
            <w:r>
              <w:rPr>
                <w:rFonts w:eastAsia="Calibri" w:cs="Arial"/>
                <w:bCs/>
                <w:color w:val="000000"/>
                <w:sz w:val="19"/>
                <w:szCs w:val="19"/>
                <w:lang w:eastAsia="en-US"/>
              </w:rPr>
              <w:t>3N1BB7AD1HY202945</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2.220,50</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7</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JKH9903</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COROLLA SEDAN SE-G 1.8 16V(N.SERIE) AUT. FLEX A/G 4P</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2007/2007</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3</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9BR53ZEC278655945</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2.259,36</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8</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EWK6H23</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TOYOTA / COROLLA XEI20FLB</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2018/2019</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0</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9BRBD3HE1K0424460</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2.668,19</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9</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LMV1F34</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NISSAN / VERSA 16 S</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2019/2019</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0</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94DBCAN17KB114061</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2.375,88</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10</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KUR4013</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PALIO ELX 1.0 8V(FLEX)(N.SERIE) A/G 4P</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2007/2007</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2</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9BD17164G72885056</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1.560,56</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11</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LQW4105</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val="en-US" w:eastAsia="en-US"/>
              </w:rPr>
              <w:t>CLASSIC SEDAN LS 1.0 VHC-E 8V(FLEXPOWER) A/G 4P</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2014/2014</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4</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9BGSU19F0EC110138</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1.629,79</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12</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LQQ9147</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ÔNIBUS; MODELO CRLV: AGRALE / MASCA GRANMINI O</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2012/2013</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4</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9BYC73A1ADC000065</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3.762,28</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13</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LQR5607</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TRANSIT 2.2 FURGAO 350(LONGO) TDCI DIES. 3P</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2013/2013</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2</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WFODXPTCFDTY55968</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3.155,29</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14</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KPH7987</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val="en-US" w:eastAsia="en-US"/>
              </w:rPr>
              <w:t>JUMPER 2.3 16LUG. TB DIES. 3P</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2013/2013</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4</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935ZBWMMBD2104444</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6.951,06</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15</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KZC7247</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RENAULT / MASTER NIKS 16 P</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2018/2019</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4</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93YMAF4XEKJ279715</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6.718,24</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16</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LMT8A07</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RENAULT / MASTER NIKS MO20</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2018/2019</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4</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93YMAF4XEKJ668709</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6.718,24</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17</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LUT4263</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val="en-US" w:eastAsia="en-US"/>
              </w:rPr>
              <w:t xml:space="preserve">DOBLO ATTRACTIVE 1.4 FIRE 8V (5 LUG.) </w:t>
            </w:r>
            <w:r>
              <w:rPr>
                <w:rFonts w:eastAsia="Calibri" w:cs="Arial" w:cstheme="minorBidi" w:eastAsiaTheme="minorHAnsi"/>
                <w:bCs/>
                <w:sz w:val="19"/>
                <w:szCs w:val="19"/>
                <w:lang w:eastAsia="en-US"/>
              </w:rPr>
              <w:t>(FLEX) A/G 5P</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2015/2015</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0</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9BD119707F1122439</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4.560,88</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18</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LUX8127</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L-200 CD GL 4X4 2.5 TB(NOVA SERIE) DIES. 4P</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2006/2006</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0</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93XJNK3406C645392</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4.619,24</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19</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LCN2935</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GM / BLAZER DLX</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1998/1999</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val="en-US" w:eastAsia="en-US"/>
              </w:rPr>
              <w:t>3</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9BG116CTXWC908397</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2.429,09</w:t>
            </w:r>
          </w:p>
        </w:tc>
      </w:tr>
      <w:tr>
        <w:trPr/>
        <w:tc>
          <w:tcPr>
            <w:tcW w:w="924" w:type="dxa"/>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20</w:t>
            </w:r>
          </w:p>
        </w:tc>
        <w:tc>
          <w:tcPr>
            <w:tcW w:w="1187"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LKP7226</w:t>
            </w:r>
          </w:p>
        </w:tc>
        <w:tc>
          <w:tcPr>
            <w:tcW w:w="2303"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GOL 1.0 8V</w:t>
            </w:r>
          </w:p>
        </w:tc>
        <w:tc>
          <w:tcPr>
            <w:tcW w:w="1219"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2008/2008</w:t>
            </w:r>
          </w:p>
        </w:tc>
        <w:tc>
          <w:tcPr>
            <w:tcW w:w="1054" w:type="dxa"/>
            <w:tcBorders/>
            <w:shd w:fill="auto"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3</w:t>
            </w:r>
          </w:p>
        </w:tc>
        <w:tc>
          <w:tcPr>
            <w:tcW w:w="2327" w:type="dxa"/>
            <w:gridSpan w:val="2"/>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9BWSA05W28P114002</w:t>
            </w:r>
          </w:p>
        </w:tc>
        <w:tc>
          <w:tcPr>
            <w:tcW w:w="1100" w:type="dxa"/>
            <w:tcBorders/>
            <w:shd w:fill="auto" w:val="clear"/>
            <w:vAlign w:val="cente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2.313,74</w:t>
            </w:r>
          </w:p>
        </w:tc>
      </w:tr>
      <w:tr>
        <w:trPr/>
        <w:tc>
          <w:tcPr>
            <w:tcW w:w="9013" w:type="dxa"/>
            <w:gridSpan w:val="6"/>
            <w:tcBorders/>
            <w:shd w:color="auto" w:fill="B8CCE4" w:themeFill="accent1" w:themeFillTint="66" w:val="clear"/>
          </w:tcPr>
          <w:p>
            <w:pPr>
              <w:pStyle w:val="Normal"/>
              <w:jc w:val="center"/>
              <w:rPr>
                <w:rFonts w:eastAsia="Calibri" w:eastAsiaTheme="minorHAnsi"/>
                <w:sz w:val="19"/>
                <w:szCs w:val="19"/>
              </w:rPr>
            </w:pPr>
            <w:r>
              <w:rPr>
                <w:rFonts w:eastAsia="Calibri" w:cs="Arial" w:cstheme="minorBidi" w:eastAsiaTheme="minorHAnsi"/>
                <w:sz w:val="19"/>
                <w:szCs w:val="19"/>
                <w:lang w:eastAsia="en-US"/>
              </w:rPr>
              <w:t>TOTAL</w:t>
            </w:r>
          </w:p>
        </w:tc>
        <w:tc>
          <w:tcPr>
            <w:tcW w:w="1101" w:type="dxa"/>
            <w:gridSpan w:val="2"/>
            <w:tcBorders/>
            <w:shd w:fill="auto" w:val="clear"/>
          </w:tcPr>
          <w:p>
            <w:pPr>
              <w:pStyle w:val="Normal"/>
              <w:jc w:val="center"/>
              <w:rPr>
                <w:rFonts w:eastAsia="Calibri" w:eastAsiaTheme="minorHAnsi"/>
                <w:sz w:val="19"/>
                <w:szCs w:val="19"/>
              </w:rPr>
            </w:pPr>
            <w:r>
              <w:rPr>
                <w:rFonts w:eastAsia="Calibri" w:cs="Arial" w:cstheme="minorBidi" w:eastAsiaTheme="minorHAnsi"/>
                <w:bCs/>
                <w:sz w:val="19"/>
                <w:szCs w:val="19"/>
                <w:lang w:eastAsia="en-US"/>
              </w:rPr>
              <w:t>R$ 66.548,47</w:t>
            </w:r>
          </w:p>
        </w:tc>
      </w:tr>
    </w:tbl>
    <w:p>
      <w:pPr>
        <w:pStyle w:val="Normal"/>
        <w:jc w:val="both"/>
        <w:rPr>
          <w:rFonts w:cs="Arial"/>
          <w:b/>
          <w:b/>
          <w:szCs w:val="20"/>
        </w:rPr>
      </w:pPr>
      <w:r>
        <w:rPr>
          <w:rFonts w:cs="Arial"/>
          <w:b/>
          <w:szCs w:val="20"/>
        </w:rPr>
      </w:r>
    </w:p>
    <w:p>
      <w:pPr>
        <w:pStyle w:val="Normal"/>
        <w:jc w:val="both"/>
        <w:rPr>
          <w:rFonts w:cs="Arial"/>
          <w:b/>
          <w:b/>
          <w:szCs w:val="20"/>
        </w:rPr>
      </w:pPr>
      <w:r>
        <w:rPr>
          <w:rFonts w:cs="Arial"/>
          <w:b/>
          <w:szCs w:val="20"/>
        </w:rPr>
      </w:r>
    </w:p>
    <w:p>
      <w:pPr>
        <w:pStyle w:val="Normal"/>
        <w:jc w:val="both"/>
        <w:rPr/>
      </w:pPr>
      <w:r>
        <w:rPr>
          <w:rFonts w:cs="Arial"/>
          <w:b/>
          <w:szCs w:val="20"/>
        </w:rPr>
        <w:t>1.2. COBERTURAS</w:t>
      </w:r>
    </w:p>
    <w:p>
      <w:pPr>
        <w:pStyle w:val="Normal"/>
        <w:jc w:val="both"/>
        <w:rPr>
          <w:rFonts w:cs="Arial"/>
          <w:szCs w:val="20"/>
        </w:rPr>
      </w:pPr>
      <w:r>
        <w:rPr>
          <w:rFonts w:cs="Arial"/>
          <w:szCs w:val="20"/>
        </w:rPr>
      </w:r>
    </w:p>
    <w:p>
      <w:pPr>
        <w:pStyle w:val="Normal"/>
        <w:jc w:val="both"/>
        <w:rPr/>
      </w:pPr>
      <w:r>
        <w:rPr>
          <w:rFonts w:cs="Arial"/>
          <w:szCs w:val="20"/>
        </w:rPr>
        <w:t>1.2.1. Casco</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1.2.1.1. Valor de mercado referenciado atribuído a cada veículo pela tabela FIPE, utilizando o percentual de 100% da mesma na data da liquidação do sinistro nos eventos de perda parcial ou total por Colisão, Incêndio, Roubo ou Furto.</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1.2.2.2 - Franquia Casco</w:t>
      </w:r>
    </w:p>
    <w:p>
      <w:pPr>
        <w:pStyle w:val="Normal"/>
        <w:jc w:val="both"/>
        <w:rPr>
          <w:rFonts w:cs="Arial"/>
          <w:szCs w:val="20"/>
        </w:rPr>
      </w:pPr>
      <w:r>
        <w:rPr>
          <w:rFonts w:cs="Arial"/>
          <w:szCs w:val="20"/>
        </w:rPr>
        <w:t xml:space="preserve"> </w:t>
      </w:r>
    </w:p>
    <w:p>
      <w:pPr>
        <w:pStyle w:val="Normal"/>
        <w:jc w:val="both"/>
        <w:rPr/>
      </w:pPr>
      <w:r>
        <w:rPr>
          <w:rFonts w:cs="Arial"/>
          <w:szCs w:val="20"/>
        </w:rPr>
        <w:t xml:space="preserve">        </w:t>
      </w:r>
      <w:r>
        <w:rPr>
          <w:rFonts w:cs="Arial"/>
          <w:szCs w:val="20"/>
        </w:rPr>
        <w:t>1.2.2.3 - Reduzida (25% vinte e cinco por cento da obrigatória)</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1.2.2.4 - Responsabilidade Civil Facultativa por veículo segurado</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1.2.2.5 - Danos Materiais a Terceiros – R$ 200.000,00</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1.2.2.6 - Danos Corporais a Terceiros – R$ 200.000,00</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1.2.2.7 - Acidentes Pessoais a Passageiros por ocupante:</w:t>
      </w:r>
    </w:p>
    <w:p>
      <w:pPr>
        <w:pStyle w:val="Normal"/>
        <w:jc w:val="both"/>
        <w:rPr>
          <w:rFonts w:cs="Arial"/>
          <w:szCs w:val="20"/>
        </w:rPr>
      </w:pPr>
      <w:r>
        <w:rPr>
          <w:rFonts w:cs="Arial"/>
          <w:szCs w:val="20"/>
        </w:rPr>
      </w:r>
    </w:p>
    <w:p>
      <w:pPr>
        <w:pStyle w:val="Normal"/>
        <w:jc w:val="both"/>
        <w:rPr/>
      </w:pPr>
      <w:r>
        <w:rPr>
          <w:rFonts w:cs="Arial"/>
          <w:szCs w:val="20"/>
        </w:rPr>
        <w:t xml:space="preserve">        </w:t>
      </w:r>
      <w:r>
        <w:rPr>
          <w:rFonts w:cs="Arial"/>
          <w:szCs w:val="20"/>
        </w:rPr>
        <w:t>1.2.2.8 - Morte – R$ 30.000,00</w:t>
      </w:r>
    </w:p>
    <w:p>
      <w:pPr>
        <w:pStyle w:val="Normal"/>
        <w:spacing w:lineRule="auto" w:line="276" w:before="120" w:after="120"/>
        <w:ind w:left="716" w:hanging="0"/>
        <w:jc w:val="both"/>
        <w:rPr>
          <w:rFonts w:cs="Arial"/>
          <w:szCs w:val="20"/>
        </w:rPr>
      </w:pPr>
      <w:r>
        <w:rPr>
          <w:rFonts w:cs="Arial"/>
          <w:szCs w:val="20"/>
        </w:rPr>
      </w:r>
    </w:p>
    <w:p>
      <w:pPr>
        <w:pStyle w:val="Normal"/>
        <w:spacing w:lineRule="auto" w:line="276" w:before="120" w:after="120"/>
        <w:ind w:left="716" w:hanging="0"/>
        <w:jc w:val="both"/>
        <w:rPr/>
      </w:pPr>
      <w:r>
        <w:rPr>
          <w:rFonts w:cs="Arial"/>
          <w:szCs w:val="20"/>
        </w:rPr>
        <w:t xml:space="preserve">   </w:t>
      </w:r>
      <w:r>
        <w:rPr>
          <w:rFonts w:cs="Arial"/>
          <w:szCs w:val="20"/>
        </w:rPr>
        <w:t>1.3     O objeto da licitação tem a  natureza do objeto a ser contrato é de natureza comum nos termos do parágrafo único do artigo 1º, da Lei 10.520, de 2002.</w:t>
      </w:r>
    </w:p>
    <w:p>
      <w:pPr>
        <w:pStyle w:val="Normal"/>
        <w:spacing w:lineRule="auto" w:line="276" w:before="120" w:after="120"/>
        <w:ind w:left="425" w:hanging="0"/>
        <w:jc w:val="both"/>
        <w:rPr/>
      </w:pPr>
      <w:r>
        <w:rPr>
          <w:rFonts w:cs="Arial"/>
          <w:szCs w:val="20"/>
        </w:rPr>
        <w:t xml:space="preserve">     </w:t>
      </w:r>
      <w:r>
        <w:rPr>
          <w:rFonts w:cs="Arial"/>
          <w:szCs w:val="20"/>
        </w:rPr>
        <w:t>1.4   A prestação dos serviços não gera vínculo empregatício entre os empregados da Contratada e a Administração, vedando-se qualquer relação entre estes que caracterize pessoalidade e subordinação direta.</w:t>
      </w:r>
    </w:p>
    <w:p>
      <w:pPr>
        <w:pStyle w:val="Normal"/>
        <w:spacing w:lineRule="auto" w:line="276" w:before="120" w:after="120"/>
        <w:ind w:left="716" w:hanging="0"/>
        <w:jc w:val="both"/>
        <w:rPr>
          <w:rFonts w:cs="Arial"/>
          <w:i/>
          <w:i/>
          <w:szCs w:val="20"/>
        </w:rPr>
      </w:pPr>
      <w:r>
        <w:rPr>
          <w:rFonts w:cs="Arial"/>
          <w:i/>
          <w:szCs w:val="20"/>
        </w:rPr>
      </w:r>
    </w:p>
    <w:p>
      <w:pPr>
        <w:pStyle w:val="Normal"/>
        <w:spacing w:lineRule="auto" w:line="276" w:before="120" w:after="120"/>
        <w:ind w:left="716" w:hanging="0"/>
        <w:jc w:val="both"/>
        <w:rPr/>
      </w:pPr>
      <w:r>
        <w:rPr>
          <w:rFonts w:cs="Arial"/>
          <w:szCs w:val="20"/>
        </w:rPr>
        <w:t xml:space="preserve">   </w:t>
      </w:r>
      <w:r>
        <w:rPr>
          <w:rFonts w:cs="Arial"/>
          <w:szCs w:val="20"/>
        </w:rPr>
        <w:t>1.5  Os quantitativos e respectivos itens são os discriminados na tabela acima ( item 1.1 do TR).</w:t>
      </w:r>
    </w:p>
    <w:p>
      <w:pPr>
        <w:pStyle w:val="Normal"/>
        <w:spacing w:lineRule="auto" w:line="276" w:before="120" w:after="120"/>
        <w:ind w:left="716" w:hanging="0"/>
        <w:jc w:val="both"/>
        <w:rPr/>
      </w:pPr>
      <w:r>
        <w:rPr>
          <w:rFonts w:cs="Arial"/>
          <w:szCs w:val="20"/>
        </w:rPr>
        <w:t xml:space="preserve">  </w:t>
      </w:r>
      <w:r>
        <w:rPr>
          <w:rFonts w:cs="Arial"/>
          <w:szCs w:val="20"/>
        </w:rPr>
        <w:t xml:space="preserve">1.6 A presente contratação adotará como regime de execução a </w:t>
      </w:r>
      <w:r>
        <w:rPr>
          <w:rFonts w:cs="Arial"/>
          <w:i/>
          <w:szCs w:val="20"/>
        </w:rPr>
        <w:t>Empreitada por Preço  Global.</w:t>
      </w:r>
    </w:p>
    <w:p>
      <w:pPr>
        <w:pStyle w:val="Normal"/>
        <w:spacing w:lineRule="auto" w:line="276" w:before="120" w:after="120"/>
        <w:ind w:left="425" w:hanging="0"/>
        <w:jc w:val="both"/>
        <w:rPr/>
      </w:pPr>
      <w:r>
        <w:rPr>
          <w:rFonts w:cs="Arial"/>
          <w:i/>
          <w:szCs w:val="20"/>
        </w:rPr>
        <w:t xml:space="preserve">   </w:t>
      </w:r>
      <w:r>
        <w:rPr>
          <w:rFonts w:cs="Arial"/>
          <w:szCs w:val="20"/>
        </w:rPr>
        <w:t xml:space="preserve">   </w:t>
      </w:r>
      <w:r>
        <w:rPr>
          <w:rFonts w:cs="Arial"/>
          <w:szCs w:val="20"/>
        </w:rPr>
        <w:t>1.7  O prazo de vigência do contrato é de 12 (meses, podendo ser prorrogado por interesse das partes até o limite de 60 (sessenta) meses, com base no artigo 57, II, da Lei 8.666, de 1993.</w:t>
      </w:r>
    </w:p>
    <w:p>
      <w:pPr>
        <w:pStyle w:val="Nivel1"/>
        <w:numPr>
          <w:ilvl w:val="0"/>
          <w:numId w:val="1"/>
        </w:numPr>
        <w:rPr>
          <w:rFonts w:cs="Arial"/>
          <w:color w:val="auto"/>
        </w:rPr>
      </w:pPr>
      <w:r>
        <w:rPr>
          <w:rFonts w:cs="Arial"/>
          <w:color w:val="auto"/>
        </w:rPr>
        <w:t>JUSTIFICATIVA E OBJETIVO DA CONTRATAÇÃO</w:t>
      </w:r>
    </w:p>
    <w:p>
      <w:pPr>
        <w:pStyle w:val="Normal"/>
        <w:numPr>
          <w:ilvl w:val="1"/>
          <w:numId w:val="1"/>
        </w:numPr>
        <w:spacing w:lineRule="auto" w:line="276" w:before="120" w:after="120"/>
        <w:jc w:val="both"/>
        <w:rPr>
          <w:rFonts w:cs="Arial"/>
          <w:b/>
          <w:b/>
          <w:bCs/>
          <w:szCs w:val="20"/>
        </w:rPr>
      </w:pPr>
      <w:r>
        <w:rPr>
          <w:rFonts w:cs="Arial"/>
          <w:szCs w:val="20"/>
        </w:rPr>
        <w:t>A Justificativa e objetivo da contratação encontram-se pormenorizados em Tópico específico dos Estudos Preliminares, apêndice desse Termo de Referência.</w:t>
      </w:r>
    </w:p>
    <w:p>
      <w:pPr>
        <w:pStyle w:val="Nivel1"/>
        <w:numPr>
          <w:ilvl w:val="0"/>
          <w:numId w:val="1"/>
        </w:numPr>
        <w:rPr/>
      </w:pPr>
      <w:r>
        <w:rPr>
          <w:rFonts w:cs="Arial"/>
          <w:color w:val="auto"/>
        </w:rPr>
        <w:t>DESCRIÇÃO DA SOLUÇÃO:</w:t>
      </w:r>
    </w:p>
    <w:p>
      <w:pPr>
        <w:pStyle w:val="Nivel1"/>
        <w:spacing w:before="240" w:after="0"/>
        <w:ind w:left="646" w:hanging="0"/>
        <w:rPr>
          <w:rFonts w:cs="Arial"/>
          <w:color w:val="auto"/>
        </w:rPr>
      </w:pPr>
      <w:r>
        <w:rPr>
          <w:rFonts w:cs="Arial"/>
          <w:color w:val="auto"/>
        </w:rPr>
      </w:r>
    </w:p>
    <w:p>
      <w:pPr>
        <w:pStyle w:val="Normal"/>
        <w:numPr>
          <w:ilvl w:val="1"/>
          <w:numId w:val="1"/>
        </w:numPr>
        <w:suppressAutoHyphens w:val="true"/>
        <w:spacing w:before="0" w:after="120"/>
        <w:jc w:val="both"/>
        <w:rPr>
          <w:rFonts w:cs="Arial"/>
          <w:b/>
          <w:b/>
          <w:bCs/>
          <w:szCs w:val="20"/>
        </w:rPr>
      </w:pPr>
      <w:r>
        <w:rPr>
          <w:rFonts w:cs="Arial"/>
          <w:szCs w:val="20"/>
        </w:rPr>
        <w:t>A descrição da solução como um todo, conforme minudenciado nos Estudos Preliminares, abrange a prestação do serviço de garantia de cobertura às despesas ocasionadas por eventuais acidentes que possam atingir os veículos desta Diretoria.</w:t>
      </w:r>
    </w:p>
    <w:p>
      <w:pPr>
        <w:pStyle w:val="Nivel1"/>
        <w:numPr>
          <w:ilvl w:val="0"/>
          <w:numId w:val="1"/>
        </w:numPr>
        <w:rPr>
          <w:rFonts w:cs="Arial"/>
          <w:color w:val="auto"/>
        </w:rPr>
      </w:pPr>
      <w:r>
        <w:rPr>
          <w:rFonts w:cs="Arial"/>
          <w:color w:val="auto"/>
        </w:rPr>
        <w:t>DA CLASSIFICAÇÃO DOS SERVIÇO S</w:t>
      </w:r>
      <w:r>
        <w:rPr>
          <w:rFonts w:cs="Arial"/>
          <w:bCs/>
          <w:color w:val="auto"/>
        </w:rPr>
        <w:t>E FORMA DE SELEÇÃO DO FORNECEDOR</w:t>
      </w:r>
    </w:p>
    <w:p>
      <w:pPr>
        <w:pStyle w:val="Normal"/>
        <w:numPr>
          <w:ilvl w:val="1"/>
          <w:numId w:val="1"/>
        </w:numPr>
        <w:spacing w:lineRule="auto" w:line="276" w:before="120" w:after="120"/>
        <w:jc w:val="both"/>
        <w:rPr>
          <w:rFonts w:cs="Arial"/>
          <w:iCs/>
          <w:szCs w:val="20"/>
        </w:rPr>
      </w:pPr>
      <w:r>
        <w:rPr>
          <w:rFonts w:cs="Arial"/>
          <w:iCs/>
          <w:szCs w:val="20"/>
        </w:rPr>
        <w:t>Trata-se de serviço comum de caráter continuado sem fornecimento de mão de obra em regime de dedicação exclusiva, a ser contratado mediante licitação, na modalidade pregão, em sua forma eletrônica.</w:t>
      </w:r>
    </w:p>
    <w:p>
      <w:pPr>
        <w:pStyle w:val="Normal"/>
        <w:numPr>
          <w:ilvl w:val="1"/>
          <w:numId w:val="1"/>
        </w:numPr>
        <w:spacing w:lineRule="auto" w:line="276" w:before="120" w:after="120"/>
        <w:ind w:left="425" w:hanging="0"/>
        <w:jc w:val="both"/>
        <w:rPr>
          <w:rFonts w:cs="Arial"/>
          <w:szCs w:val="20"/>
        </w:rPr>
      </w:pPr>
      <w:r>
        <w:rPr>
          <w:rFonts w:cs="Arial"/>
          <w:szCs w:val="20"/>
        </w:rPr>
        <w:t>Os serviços a serem contratados enquadram-se nos pressupostos do Decreto n° 9.507, de 21 de setembro de 2018, não se constituindo em quaisquer das atividades, previstas no art. 3º do aludido decreto, cuja execução indireta é vedada.</w:t>
      </w:r>
    </w:p>
    <w:p>
      <w:pPr>
        <w:pStyle w:val="Normal"/>
        <w:numPr>
          <w:ilvl w:val="1"/>
          <w:numId w:val="1"/>
        </w:numPr>
        <w:spacing w:lineRule="auto" w:line="276" w:before="120" w:after="120"/>
        <w:ind w:left="425" w:hanging="0"/>
        <w:jc w:val="both"/>
        <w:rPr>
          <w:rFonts w:cs="Arial"/>
          <w:szCs w:val="20"/>
        </w:rPr>
      </w:pPr>
      <w:r>
        <w:rPr>
          <w:rFonts w:cs="Arial"/>
          <w:szCs w:val="20"/>
        </w:rPr>
        <w:t>A prestação dos serviços não gera vínculo empregatício entre os empregados da Contratada e a Administração Contratante, vedando-se qualquer relação entre estes que caracterize pessoalidade e subordinação direta.</w:t>
      </w:r>
    </w:p>
    <w:p>
      <w:pPr>
        <w:pStyle w:val="Nivel1"/>
        <w:numPr>
          <w:ilvl w:val="0"/>
          <w:numId w:val="1"/>
        </w:numPr>
        <w:rPr>
          <w:rFonts w:cs="Arial"/>
          <w:color w:val="auto"/>
        </w:rPr>
      </w:pPr>
      <w:r>
        <w:rPr>
          <w:rFonts w:cs="Arial"/>
          <w:color w:val="auto"/>
        </w:rPr>
        <w:t>REQUISITOS DA CONTRATAÇÃO</w:t>
      </w:r>
    </w:p>
    <w:p>
      <w:pPr>
        <w:pStyle w:val="Normal"/>
        <w:suppressAutoHyphens w:val="true"/>
        <w:spacing w:before="0" w:after="120"/>
        <w:ind w:left="716" w:hanging="0"/>
        <w:jc w:val="both"/>
        <w:rPr>
          <w:rFonts w:cs="Arial"/>
          <w:szCs w:val="20"/>
        </w:rPr>
      </w:pPr>
      <w:r>
        <w:rPr>
          <w:rFonts w:cs="Arial"/>
          <w:szCs w:val="20"/>
        </w:rPr>
      </w:r>
    </w:p>
    <w:p>
      <w:pPr>
        <w:pStyle w:val="Normal"/>
        <w:numPr>
          <w:ilvl w:val="1"/>
          <w:numId w:val="1"/>
        </w:numPr>
        <w:suppressAutoHyphens w:val="true"/>
        <w:spacing w:before="0" w:after="120"/>
        <w:jc w:val="both"/>
        <w:rPr/>
      </w:pPr>
      <w:r>
        <w:rPr>
          <w:rFonts w:cs="Arial"/>
          <w:szCs w:val="20"/>
        </w:rPr>
        <w:t>Conforme Estudos Preliminares, os requisitos da contratação abrangem o seguinte:</w:t>
      </w:r>
    </w:p>
    <w:p>
      <w:pPr>
        <w:pStyle w:val="Normal"/>
        <w:suppressAutoHyphens w:val="true"/>
        <w:spacing w:before="0" w:after="120"/>
        <w:ind w:left="716" w:hanging="0"/>
        <w:jc w:val="both"/>
        <w:rPr>
          <w:rFonts w:cs="Arial"/>
          <w:szCs w:val="20"/>
        </w:rPr>
      </w:pPr>
      <w:r>
        <w:rPr>
          <w:rFonts w:cs="Arial"/>
          <w:szCs w:val="20"/>
        </w:rPr>
        <w:t>5.1.1 Declaração do licitante de que tem pleno conhecimento das condições necessárias para a prestação do serviço.</w:t>
      </w:r>
    </w:p>
    <w:p>
      <w:pPr>
        <w:pStyle w:val="Normal"/>
        <w:suppressAutoHyphens w:val="true"/>
        <w:spacing w:before="0" w:after="120"/>
        <w:ind w:left="716" w:hanging="0"/>
        <w:jc w:val="both"/>
        <w:rPr>
          <w:rFonts w:cs="Arial"/>
          <w:b/>
          <w:b/>
          <w:bCs/>
          <w:szCs w:val="20"/>
        </w:rPr>
      </w:pPr>
      <w:r>
        <w:rPr>
          <w:rFonts w:cs="Arial"/>
          <w:szCs w:val="20"/>
        </w:rPr>
        <w:t>5.1.2 As obrigações da Contratada e Contratante estão previstas neste TR...</w:t>
      </w:r>
    </w:p>
    <w:p>
      <w:pPr>
        <w:pStyle w:val="Normal"/>
        <w:numPr>
          <w:ilvl w:val="1"/>
          <w:numId w:val="1"/>
        </w:numPr>
        <w:suppressAutoHyphens w:val="true"/>
        <w:spacing w:before="0" w:after="120"/>
        <w:jc w:val="both"/>
        <w:rPr/>
      </w:pPr>
      <w:r>
        <w:rPr>
          <w:rFonts w:cs="Arial"/>
          <w:szCs w:val="20"/>
          <w:lang w:eastAsia="en-US"/>
        </w:rPr>
        <w:t>O perfil dos dos motoristas: suas características individuais, como tempo de habilitação, idade ou sexo, não devem ser consideradas como condição delimitadora para efeitos de fixação do valor do seguro a ser contratado.</w:t>
      </w:r>
    </w:p>
    <w:p>
      <w:pPr>
        <w:pStyle w:val="Normal"/>
        <w:rPr/>
      </w:pPr>
      <w:r>
        <w:rPr>
          <w:rFonts w:cs="Arial"/>
          <w:szCs w:val="20"/>
          <w:lang w:eastAsia="en-US"/>
        </w:rPr>
        <w:t xml:space="preserve">    </w:t>
      </w:r>
      <w:r>
        <w:rPr>
          <w:rFonts w:cs="Arial"/>
          <w:b/>
          <w:bCs/>
          <w:szCs w:val="20"/>
          <w:lang w:eastAsia="en-US"/>
        </w:rPr>
        <w:t xml:space="preserve"> </w:t>
      </w:r>
      <w:r>
        <w:rPr>
          <w:rFonts w:cs="Arial"/>
          <w:b/>
          <w:bCs/>
          <w:szCs w:val="20"/>
          <w:lang w:eastAsia="en-US"/>
        </w:rPr>
        <w:t>5.3</w:t>
      </w:r>
      <w:r>
        <w:rPr>
          <w:rFonts w:cs="Arial"/>
          <w:szCs w:val="20"/>
          <w:lang w:eastAsia="en-US"/>
        </w:rPr>
        <w:t xml:space="preserve">   Qualquer alteração na apólice poderá ser solicitada pela DAbM, e processada pela Seguradora, mediante endosso, inclusive  no  caso da compra de novos veículos</w:t>
      </w:r>
    </w:p>
    <w:p>
      <w:pPr>
        <w:pStyle w:val="Normal"/>
        <w:spacing w:before="0" w:after="120"/>
        <w:ind w:left="432" w:hanging="0"/>
        <w:jc w:val="both"/>
        <w:rPr>
          <w:rFonts w:cs="Arial"/>
          <w:b/>
          <w:b/>
          <w:szCs w:val="20"/>
        </w:rPr>
      </w:pPr>
      <w:r>
        <w:rPr>
          <w:rFonts w:cs="Arial"/>
          <w:b/>
          <w:szCs w:val="20"/>
        </w:rPr>
      </w:r>
    </w:p>
    <w:p>
      <w:pPr>
        <w:pStyle w:val="Nivel1"/>
        <w:numPr>
          <w:ilvl w:val="0"/>
          <w:numId w:val="1"/>
        </w:numPr>
        <w:rPr>
          <w:rFonts w:cs="Arial"/>
          <w:color w:val="auto"/>
        </w:rPr>
      </w:pPr>
      <w:r>
        <w:rPr>
          <w:rFonts w:cs="Arial"/>
          <w:bCs/>
          <w:color w:val="auto"/>
        </w:rPr>
        <w:t>VISTORIA PARA A LICITAÇÃO.</w:t>
      </w:r>
    </w:p>
    <w:p>
      <w:pPr>
        <w:pStyle w:val="Normal"/>
        <w:numPr>
          <w:ilvl w:val="1"/>
          <w:numId w:val="1"/>
        </w:numPr>
        <w:spacing w:lineRule="auto" w:line="276" w:before="120" w:after="120"/>
        <w:jc w:val="both"/>
        <w:rPr/>
      </w:pPr>
      <w:r>
        <w:rPr>
          <w:rFonts w:cs="Arial"/>
          <w:szCs w:val="20"/>
        </w:rPr>
        <w:t>Para o correto dimensionamento e elaboração de sua proposta, o licitante PODERÁ realizar vistoria nos veículos a serem segurados, acompanhado por servidor designado para esse fim, de segunda à sexta-feira, das 09:00 horas às 15:30 horas, devendo o agendamento ser efetuado previamente pelo telefone 021 2253-6885.</w:t>
      </w:r>
    </w:p>
    <w:p>
      <w:pPr>
        <w:pStyle w:val="Normal"/>
        <w:numPr>
          <w:ilvl w:val="1"/>
          <w:numId w:val="1"/>
        </w:numPr>
        <w:spacing w:lineRule="auto" w:line="276" w:before="120" w:after="120"/>
        <w:jc w:val="both"/>
        <w:rPr>
          <w:rFonts w:cs="Arial"/>
          <w:szCs w:val="20"/>
        </w:rPr>
      </w:pPr>
      <w:r>
        <w:rPr>
          <w:rFonts w:cs="Arial"/>
          <w:szCs w:val="20"/>
        </w:rPr>
        <w:t>O prazo para vistoria iniciar-se-á no dia útil seguinte ao da publicação do Edital, estendendo-se até o dia útil anterior à data prevista para a abertura da sessão pública.</w:t>
      </w:r>
    </w:p>
    <w:p>
      <w:pPr>
        <w:pStyle w:val="Normal"/>
        <w:numPr>
          <w:ilvl w:val="1"/>
          <w:numId w:val="1"/>
        </w:numPr>
        <w:spacing w:lineRule="auto" w:line="276" w:before="120" w:after="120"/>
        <w:jc w:val="both"/>
        <w:rPr>
          <w:rFonts w:cs="Arial"/>
          <w:bCs/>
          <w:szCs w:val="20"/>
        </w:rPr>
      </w:pPr>
      <w:r>
        <w:rPr>
          <w:rFonts w:cs="Arial"/>
          <w:szCs w:val="20"/>
        </w:rPr>
        <w:t xml:space="preserve">A vistoria, facultativa, tem o objetivo de dar às empresas licitantes o pleno conhecimento das dificuldades inerentes à prestação dos serviços, utilizando-se da ocasião para sanar possíveis dúvidas que afetarão a formulação das propostas de preços.  </w:t>
      </w:r>
    </w:p>
    <w:p>
      <w:pPr>
        <w:pStyle w:val="Normal"/>
        <w:spacing w:lineRule="auto" w:line="276" w:before="120" w:after="120"/>
        <w:ind w:left="716" w:right="-15" w:hanging="0"/>
        <w:jc w:val="both"/>
        <w:rPr>
          <w:rFonts w:cs="Arial"/>
          <w:iCs/>
          <w:szCs w:val="20"/>
        </w:rPr>
      </w:pPr>
      <w:r>
        <w:rPr>
          <w:rFonts w:cs="Arial"/>
          <w:iCs/>
          <w:szCs w:val="20"/>
        </w:rPr>
      </w:r>
    </w:p>
    <w:p>
      <w:pPr>
        <w:pStyle w:val="ListParagraph"/>
        <w:numPr>
          <w:ilvl w:val="2"/>
          <w:numId w:val="1"/>
        </w:numPr>
        <w:spacing w:lineRule="auto" w:line="276" w:before="120" w:after="120"/>
        <w:contextualSpacing/>
        <w:jc w:val="both"/>
        <w:rPr>
          <w:rFonts w:cs="Arial"/>
          <w:szCs w:val="20"/>
        </w:rPr>
      </w:pPr>
      <w:r>
        <w:rPr>
          <w:rFonts w:cs="Arial"/>
          <w:iCs/>
          <w:szCs w:val="20"/>
        </w:rPr>
        <w:t>Para a vistoria o licitante, ou o seu representante legal, deverá estar devidamente identificado, apresentando documento de identidade civil e documento expedido pela empresa comprovando sua habilitação para a realização da vistoria.</w:t>
      </w:r>
    </w:p>
    <w:p>
      <w:pPr>
        <w:pStyle w:val="Nivel1"/>
        <w:numPr>
          <w:ilvl w:val="0"/>
          <w:numId w:val="1"/>
        </w:numPr>
        <w:rPr>
          <w:rFonts w:cs="Arial"/>
          <w:color w:val="auto"/>
        </w:rPr>
      </w:pPr>
      <w:r>
        <w:rPr>
          <w:rFonts w:cs="Arial"/>
          <w:color w:val="auto"/>
        </w:rPr>
        <w:t>MODELO DE EXECUÇÃO DO OBJETO</w:t>
      </w:r>
    </w:p>
    <w:p>
      <w:pPr>
        <w:pStyle w:val="Normal"/>
        <w:suppressAutoHyphens w:val="true"/>
        <w:spacing w:before="0" w:after="120"/>
        <w:ind w:left="716" w:hanging="0"/>
        <w:jc w:val="both"/>
        <w:rPr>
          <w:rFonts w:cs="Arial"/>
          <w:szCs w:val="20"/>
        </w:rPr>
      </w:pPr>
      <w:r>
        <w:rPr>
          <w:rFonts w:cs="Arial"/>
          <w:szCs w:val="20"/>
        </w:rPr>
      </w:r>
    </w:p>
    <w:p>
      <w:pPr>
        <w:pStyle w:val="Normal"/>
        <w:spacing w:lineRule="auto" w:line="276" w:before="120" w:after="120"/>
        <w:ind w:left="425" w:hanging="0"/>
        <w:jc w:val="both"/>
        <w:rPr>
          <w:rFonts w:cs="Arial"/>
          <w:szCs w:val="20"/>
          <w:lang w:eastAsia="en-US"/>
        </w:rPr>
      </w:pPr>
      <w:r>
        <w:rPr>
          <w:rFonts w:cs="Arial"/>
          <w:szCs w:val="20"/>
          <w:lang w:eastAsia="en-US"/>
        </w:rPr>
        <w:t>7.1. 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arts. 67 e 73 da Lei nº 8.666, de 1993, e do art. 6º do Decreto nº 2.271, de 1997.</w:t>
      </w:r>
    </w:p>
    <w:p>
      <w:pPr>
        <w:pStyle w:val="Normal"/>
        <w:spacing w:lineRule="auto" w:line="276" w:before="120" w:after="120"/>
        <w:ind w:left="425" w:hanging="0"/>
        <w:jc w:val="both"/>
        <w:rPr>
          <w:rFonts w:cs="Arial"/>
          <w:szCs w:val="20"/>
          <w:lang w:eastAsia="en-US"/>
        </w:rPr>
      </w:pPr>
      <w:r>
        <w:rPr>
          <w:rFonts w:cs="Arial"/>
          <w:szCs w:val="20"/>
          <w:lang w:eastAsia="en-US"/>
        </w:rPr>
        <w:t>7.2 O representante da Contratante deverá ter a experiência necessária para o acompanhamento e controle da execução dos Serviços e do Contrato.</w:t>
      </w:r>
    </w:p>
    <w:p>
      <w:pPr>
        <w:pStyle w:val="Normal"/>
        <w:spacing w:lineRule="auto" w:line="276" w:before="120" w:after="120"/>
        <w:ind w:left="425" w:hanging="0"/>
        <w:jc w:val="both"/>
        <w:rPr>
          <w:rFonts w:cs="Arial"/>
          <w:szCs w:val="20"/>
          <w:lang w:eastAsia="en-US"/>
        </w:rPr>
      </w:pPr>
      <w:r>
        <w:rPr>
          <w:rFonts w:cs="Arial"/>
          <w:szCs w:val="20"/>
          <w:lang w:eastAsia="en-US"/>
        </w:rPr>
        <w:t>7.3  A verificação da adequação da prestação do serviço deverá ser realizada com base nos critérios previstos neste Termo de Referência.</w:t>
      </w:r>
    </w:p>
    <w:p>
      <w:pPr>
        <w:pStyle w:val="Normal"/>
        <w:spacing w:lineRule="auto" w:line="276" w:before="120" w:after="120"/>
        <w:ind w:left="425" w:hanging="0"/>
        <w:jc w:val="both"/>
        <w:rPr/>
      </w:pPr>
      <w:r>
        <w:rPr>
          <w:rFonts w:cs="Arial"/>
          <w:szCs w:val="20"/>
          <w:lang w:eastAsia="en-US"/>
        </w:rPr>
        <w:t>7.4  A execução dos contratos deverá ser acompanhada e fiscalizada por meio de instrumentos de controle, que compreendam a mensuração dos aspectos mencionados no art. 34 da Instrução Normativa SLTI/MPOG nº 02, de 2008, IN NR 5, DE 25 DE MAIO DE 2017, quando for o caso.</w:t>
      </w:r>
    </w:p>
    <w:p>
      <w:pPr>
        <w:pStyle w:val="Normal"/>
        <w:spacing w:lineRule="auto" w:line="276" w:before="120" w:after="120"/>
        <w:ind w:left="425" w:hanging="0"/>
        <w:jc w:val="both"/>
        <w:rPr>
          <w:rFonts w:cs="Arial"/>
          <w:szCs w:val="20"/>
          <w:lang w:eastAsia="en-US"/>
        </w:rPr>
      </w:pPr>
      <w:r>
        <w:rPr>
          <w:rFonts w:cs="Arial"/>
          <w:szCs w:val="20"/>
          <w:lang w:eastAsia="en-US"/>
        </w:rPr>
        <w:t>7.5  O representante da Contratante deverá promover o registro das ocorrências verificadas, adotando as providências necessárias ao fiel cumprimento das cláusulas contratuais, conforme o disposto nos §§ 1º e 2º do art. 67 da Lei nº 8.666, de 1993.</w:t>
      </w:r>
    </w:p>
    <w:p>
      <w:pPr>
        <w:pStyle w:val="Normal"/>
        <w:spacing w:lineRule="auto" w:line="276" w:before="120" w:after="120"/>
        <w:ind w:left="425" w:hanging="0"/>
        <w:jc w:val="both"/>
        <w:rPr>
          <w:rFonts w:cs="Arial"/>
          <w:szCs w:val="20"/>
          <w:lang w:eastAsia="en-US"/>
        </w:rPr>
      </w:pPr>
      <w:r>
        <w:rPr>
          <w:rFonts w:cs="Arial"/>
          <w:szCs w:val="20"/>
          <w:lang w:eastAsia="en-US"/>
        </w:rPr>
        <w:t>7.6 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pPr>
        <w:pStyle w:val="Normal"/>
        <w:spacing w:lineRule="auto" w:line="276" w:before="120" w:after="120"/>
        <w:ind w:left="425" w:hanging="0"/>
        <w:jc w:val="both"/>
        <w:rPr>
          <w:rFonts w:cs="Arial"/>
          <w:szCs w:val="20"/>
          <w:lang w:eastAsia="en-US"/>
        </w:rPr>
      </w:pPr>
      <w:r>
        <w:rPr>
          <w:rFonts w:cs="Arial"/>
          <w:szCs w:val="20"/>
          <w:lang w:eastAsia="en-US"/>
        </w:rPr>
        <w:t>7.7 As disposições previstas nesta cláusula não excluem o disposto no Anexo IV (Guia de Fiscalização dos Contratos de Terceirização) da Instrução Normativa SLTI/MPOG nº 02, de 2008, aplicável no que for pertinente à contratação.</w:t>
      </w:r>
    </w:p>
    <w:p>
      <w:pPr>
        <w:pStyle w:val="Normal"/>
        <w:spacing w:lineRule="auto" w:line="276" w:before="120" w:after="120"/>
        <w:ind w:left="425" w:hanging="0"/>
        <w:jc w:val="both"/>
        <w:rPr>
          <w:rFonts w:cs="Arial"/>
          <w:szCs w:val="20"/>
          <w:lang w:eastAsia="en-US"/>
        </w:rPr>
      </w:pPr>
      <w:r>
        <w:rPr>
          <w:rFonts w:cs="Arial"/>
          <w:szCs w:val="20"/>
          <w:lang w:eastAsia="en-US"/>
        </w:rPr>
        <w:t>7.8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ivel1"/>
        <w:numPr>
          <w:ilvl w:val="0"/>
          <w:numId w:val="1"/>
        </w:numPr>
        <w:rPr/>
      </w:pPr>
      <w:r>
        <w:rPr>
          <w:rFonts w:cs="Arial"/>
          <w:i/>
          <w:color w:val="auto"/>
        </w:rPr>
        <w:t>INFORMAÇÕES RELEVANTES PARA O DIMENSIONAMENTO DA PROPOSTA</w:t>
      </w:r>
    </w:p>
    <w:p>
      <w:pPr>
        <w:pStyle w:val="Normal"/>
        <w:numPr>
          <w:ilvl w:val="1"/>
          <w:numId w:val="1"/>
        </w:numPr>
        <w:spacing w:lineRule="auto" w:line="276" w:before="120" w:after="120"/>
        <w:ind w:left="425" w:hanging="0"/>
        <w:jc w:val="both"/>
        <w:rPr>
          <w:rFonts w:cs="Arial"/>
          <w:bCs/>
          <w:i/>
          <w:i/>
          <w:szCs w:val="20"/>
        </w:rPr>
      </w:pPr>
      <w:r>
        <w:rPr>
          <w:rFonts w:cs="Arial"/>
          <w:bCs/>
          <w:i/>
          <w:szCs w:val="20"/>
        </w:rPr>
        <w:t>A demanda do órgão tem como base as seguintes características:</w:t>
      </w:r>
    </w:p>
    <w:p>
      <w:pPr>
        <w:pStyle w:val="Normal"/>
        <w:spacing w:lineRule="auto" w:line="276" w:before="120" w:after="120"/>
        <w:ind w:left="720" w:hanging="0"/>
        <w:jc w:val="both"/>
        <w:rPr>
          <w:rFonts w:cs="Arial"/>
          <w:bCs/>
          <w:szCs w:val="20"/>
        </w:rPr>
      </w:pPr>
      <w:r>
        <w:rPr>
          <w:rFonts w:cs="Arial"/>
          <w:bCs/>
          <w:szCs w:val="20"/>
        </w:rPr>
        <w:t>9.1.1 Danos Materiais, Danos Corporais, APO Morte, APO Invalidez, Danos Morais, Assistência 24 horas com guincho, Assistência a Vidros Completos, Extensão de Reboque 250 Km, Franquia Reduzida, Ressarcimento de 100% da Tabela FIPE  e  etc.</w:t>
      </w:r>
    </w:p>
    <w:p>
      <w:pPr>
        <w:pStyle w:val="Nivel1"/>
        <w:numPr>
          <w:ilvl w:val="0"/>
          <w:numId w:val="1"/>
        </w:numPr>
        <w:rPr>
          <w:rFonts w:cs="Arial"/>
          <w:color w:val="auto"/>
        </w:rPr>
      </w:pPr>
      <w:r>
        <w:rPr>
          <w:rFonts w:cs="Arial"/>
          <w:color w:val="auto"/>
          <w:lang w:eastAsia="en-US"/>
        </w:rPr>
        <w:t>OBRIGAÇÕES DA CONTRATANTE</w:t>
      </w:r>
    </w:p>
    <w:p>
      <w:pPr>
        <w:pStyle w:val="Normal"/>
        <w:numPr>
          <w:ilvl w:val="1"/>
          <w:numId w:val="1"/>
        </w:numPr>
        <w:spacing w:lineRule="auto" w:line="276" w:before="120" w:after="120"/>
        <w:ind w:left="425" w:hanging="0"/>
        <w:jc w:val="both"/>
        <w:rPr>
          <w:rFonts w:cs="Arial"/>
          <w:szCs w:val="20"/>
        </w:rPr>
      </w:pPr>
      <w:r>
        <w:rPr>
          <w:rFonts w:cs="Arial"/>
          <w:szCs w:val="20"/>
        </w:rPr>
        <w:t>Exigir o cumprimento de todas as obrigações assumidas pela Contratada, de acordo com as cláusulas contratuais e os termos de sua proposta;</w:t>
      </w:r>
    </w:p>
    <w:p>
      <w:pPr>
        <w:pStyle w:val="Normal"/>
        <w:numPr>
          <w:ilvl w:val="1"/>
          <w:numId w:val="1"/>
        </w:numPr>
        <w:spacing w:lineRule="auto" w:line="276" w:before="120" w:after="120"/>
        <w:ind w:left="425" w:hanging="0"/>
        <w:jc w:val="both"/>
        <w:rPr>
          <w:rFonts w:cs="Arial"/>
          <w:szCs w:val="20"/>
        </w:rPr>
      </w:pPr>
      <w:r>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pPr>
        <w:pStyle w:val="Normal"/>
        <w:numPr>
          <w:ilvl w:val="1"/>
          <w:numId w:val="1"/>
        </w:numPr>
        <w:spacing w:lineRule="auto" w:line="276" w:before="120" w:after="120"/>
        <w:ind w:left="425" w:hanging="0"/>
        <w:jc w:val="both"/>
        <w:rPr>
          <w:rFonts w:cs="Arial"/>
          <w:szCs w:val="20"/>
        </w:rPr>
      </w:pPr>
      <w:r>
        <w:rPr>
          <w:rFonts w:cs="Arial"/>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pPr>
        <w:pStyle w:val="Normal"/>
        <w:numPr>
          <w:ilvl w:val="1"/>
          <w:numId w:val="1"/>
        </w:numPr>
        <w:spacing w:lineRule="auto" w:line="276" w:before="120" w:after="120"/>
        <w:ind w:left="425" w:hanging="0"/>
        <w:jc w:val="both"/>
        <w:rPr>
          <w:rFonts w:cs="Arial"/>
          <w:szCs w:val="20"/>
        </w:rPr>
      </w:pPr>
      <w:r>
        <w:rPr>
          <w:rFonts w:cs="Arial"/>
          <w:szCs w:val="20"/>
        </w:rPr>
        <w:t>Pagar à Contratada o valor resultante da prestação do serviço, no prazo e condições estabelecidas neste Termo de Referência;</w:t>
      </w:r>
    </w:p>
    <w:p>
      <w:pPr>
        <w:pStyle w:val="Normal"/>
        <w:numPr>
          <w:ilvl w:val="1"/>
          <w:numId w:val="1"/>
        </w:numPr>
        <w:spacing w:lineRule="auto" w:line="276" w:before="120" w:after="120"/>
        <w:ind w:left="425" w:hanging="0"/>
        <w:jc w:val="both"/>
        <w:rPr>
          <w:rFonts w:cs="Arial"/>
          <w:szCs w:val="20"/>
        </w:rPr>
      </w:pPr>
      <w:r>
        <w:rPr>
          <w:rFonts w:cs="Arial"/>
          <w:szCs w:val="20"/>
        </w:rPr>
        <w:t>Efetuar as retenções tributárias devidas sobre o valor da Nota Fiscal/Fatura da contratada, no que couber, em conformidade com o item 6 do Anexo XI da IN SEGES/MP n. 5/2017.</w:t>
      </w:r>
    </w:p>
    <w:p>
      <w:pPr>
        <w:pStyle w:val="Normal"/>
        <w:numPr>
          <w:ilvl w:val="1"/>
          <w:numId w:val="1"/>
        </w:numPr>
        <w:spacing w:lineRule="auto" w:line="276" w:before="120" w:after="120"/>
        <w:ind w:left="425" w:hanging="0"/>
        <w:jc w:val="both"/>
        <w:rPr>
          <w:rFonts w:cs="Arial"/>
          <w:szCs w:val="20"/>
        </w:rPr>
      </w:pPr>
      <w:r>
        <w:rPr>
          <w:rFonts w:cs="Arial"/>
          <w:szCs w:val="20"/>
        </w:rPr>
        <w:t>Não praticar atos de ingerência na administração da Contratada, tais como:</w:t>
      </w:r>
    </w:p>
    <w:p>
      <w:pPr>
        <w:pStyle w:val="ListParagraph"/>
        <w:numPr>
          <w:ilvl w:val="2"/>
          <w:numId w:val="1"/>
        </w:numPr>
        <w:spacing w:lineRule="auto" w:line="276" w:before="120" w:after="120"/>
        <w:ind w:left="1134" w:hanging="0"/>
        <w:contextualSpacing/>
        <w:jc w:val="both"/>
        <w:rPr>
          <w:rFonts w:cs="Arial"/>
          <w:szCs w:val="20"/>
        </w:rPr>
      </w:pPr>
      <w:r>
        <w:rPr>
          <w:rFonts w:cs="Arial"/>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pPr>
        <w:pStyle w:val="ListParagraph"/>
        <w:numPr>
          <w:ilvl w:val="2"/>
          <w:numId w:val="1"/>
        </w:numPr>
        <w:spacing w:lineRule="auto" w:line="276" w:before="120" w:after="120"/>
        <w:ind w:left="1134" w:hanging="0"/>
        <w:contextualSpacing/>
        <w:jc w:val="both"/>
        <w:rPr>
          <w:rFonts w:cs="Arial"/>
          <w:szCs w:val="20"/>
        </w:rPr>
      </w:pPr>
      <w:r>
        <w:rPr>
          <w:rFonts w:cs="Arial"/>
          <w:szCs w:val="20"/>
        </w:rPr>
        <w:t>direcionar a contratação de pessoas para trabalhar nas empresas Contratadas;</w:t>
      </w:r>
    </w:p>
    <w:p>
      <w:pPr>
        <w:pStyle w:val="ListParagraph"/>
        <w:numPr>
          <w:ilvl w:val="2"/>
          <w:numId w:val="1"/>
        </w:numPr>
        <w:spacing w:lineRule="auto" w:line="276" w:before="120" w:after="120"/>
        <w:ind w:left="1134" w:hanging="0"/>
        <w:contextualSpacing/>
        <w:jc w:val="both"/>
        <w:rPr>
          <w:rFonts w:cs="Arial"/>
          <w:szCs w:val="20"/>
        </w:rPr>
      </w:pPr>
      <w:r>
        <w:rPr>
          <w:rFonts w:cs="Arial"/>
          <w:szCs w:val="20"/>
        </w:rPr>
        <w:t>considerar os trabalhadores da Contratada como colaboradores eventuais do próprio órgão ou entidade responsável pela contratação, especialmente para efeito de concessão de diárias e passagens.</w:t>
      </w:r>
    </w:p>
    <w:p>
      <w:pPr>
        <w:pStyle w:val="Normal"/>
        <w:numPr>
          <w:ilvl w:val="1"/>
          <w:numId w:val="1"/>
        </w:numPr>
        <w:spacing w:lineRule="auto" w:line="276" w:before="120" w:after="120"/>
        <w:ind w:left="425" w:hanging="0"/>
        <w:jc w:val="both"/>
        <w:rPr>
          <w:rFonts w:cs="Arial"/>
          <w:szCs w:val="20"/>
        </w:rPr>
      </w:pPr>
      <w:r>
        <w:rPr>
          <w:rFonts w:cs="Arial"/>
          <w:szCs w:val="20"/>
        </w:rPr>
        <w:t>Fornecer por escrito as informações necessárias para o desenvolvimento dos serviços objeto do contrato;</w:t>
      </w:r>
    </w:p>
    <w:p>
      <w:pPr>
        <w:pStyle w:val="Normal"/>
        <w:numPr>
          <w:ilvl w:val="1"/>
          <w:numId w:val="1"/>
        </w:numPr>
        <w:spacing w:lineRule="auto" w:line="276" w:before="120" w:after="120"/>
        <w:ind w:left="425" w:hanging="0"/>
        <w:jc w:val="both"/>
        <w:rPr>
          <w:rFonts w:cs="Arial"/>
          <w:szCs w:val="20"/>
        </w:rPr>
      </w:pPr>
      <w:r>
        <w:rPr>
          <w:rFonts w:cs="Arial"/>
          <w:szCs w:val="20"/>
        </w:rPr>
        <w:t>Realizar avaliações periódicas da qualidade dos serviços, após seu recebimento;</w:t>
      </w:r>
    </w:p>
    <w:p>
      <w:pPr>
        <w:pStyle w:val="Normal"/>
        <w:numPr>
          <w:ilvl w:val="1"/>
          <w:numId w:val="1"/>
        </w:numPr>
        <w:spacing w:lineRule="auto" w:line="276" w:before="120" w:after="120"/>
        <w:ind w:left="425" w:hanging="0"/>
        <w:jc w:val="both"/>
        <w:rPr>
          <w:rFonts w:cs="Arial"/>
          <w:szCs w:val="20"/>
        </w:rPr>
      </w:pPr>
      <w:r>
        <w:rPr>
          <w:rFonts w:cs="Arial"/>
          <w:szCs w:val="20"/>
        </w:rPr>
        <w:t xml:space="preserve">Cientificar o órgão de representação judicial da Advocacia-Geral da União para adoção das medidas cabíveis quando do descumprimento das obrigações pela Contratada; </w:t>
      </w:r>
    </w:p>
    <w:p>
      <w:pPr>
        <w:pStyle w:val="Normal"/>
        <w:numPr>
          <w:ilvl w:val="1"/>
          <w:numId w:val="1"/>
        </w:numPr>
        <w:spacing w:lineRule="auto" w:line="276" w:before="120" w:after="120"/>
        <w:ind w:left="425" w:hanging="0"/>
        <w:jc w:val="both"/>
        <w:rPr>
          <w:rFonts w:cs="Arial"/>
          <w:szCs w:val="20"/>
        </w:rPr>
      </w:pPr>
      <w:r>
        <w:rPr>
          <w:rFonts w:cs="Arial"/>
          <w:szCs w:val="20"/>
        </w:rPr>
        <w:t>Arquivar, entre outros documentos, projetos, "as built", especificações técnicas, orçamentos, termos de recebimento, contratos e aditamentos, relatórios de inspeções técnicas após o recebimento do serviço e notificações expedidas;</w:t>
      </w:r>
    </w:p>
    <w:p>
      <w:pPr>
        <w:pStyle w:val="Normal"/>
        <w:numPr>
          <w:ilvl w:val="1"/>
          <w:numId w:val="1"/>
        </w:numPr>
        <w:spacing w:lineRule="auto" w:line="276" w:before="120" w:after="120"/>
        <w:ind w:left="425" w:hanging="0"/>
        <w:jc w:val="both"/>
        <w:rPr>
          <w:rFonts w:cs="Arial"/>
          <w:szCs w:val="20"/>
        </w:rPr>
      </w:pPr>
      <w:r>
        <w:rPr>
          <w:rFonts w:cs="Arial"/>
          <w:szCs w:val="20"/>
        </w:rPr>
        <w:t>Fiscalizar o cumprimento dos requisitos legais, quando a contratada houver se beneficiado da preferência estabelecida pelo art. 3º, § 5º, da Lei nº 8.666, de 1993.</w:t>
      </w:r>
    </w:p>
    <w:p>
      <w:pPr>
        <w:pStyle w:val="Nivel1"/>
        <w:numPr>
          <w:ilvl w:val="0"/>
          <w:numId w:val="1"/>
        </w:numPr>
        <w:rPr>
          <w:rFonts w:cs="Arial"/>
          <w:color w:val="auto"/>
        </w:rPr>
      </w:pPr>
      <w:r>
        <w:rPr>
          <w:rFonts w:cs="Arial"/>
          <w:color w:val="auto"/>
        </w:rPr>
        <w:t>OBRIGAÇÕES DA CONTRATADA</w:t>
      </w:r>
    </w:p>
    <w:p>
      <w:pPr>
        <w:pStyle w:val="Normal"/>
        <w:numPr>
          <w:ilvl w:val="1"/>
          <w:numId w:val="1"/>
        </w:numPr>
        <w:spacing w:lineRule="auto" w:line="276" w:before="120" w:after="120"/>
        <w:ind w:left="425" w:hanging="0"/>
        <w:jc w:val="both"/>
        <w:rPr>
          <w:rFonts w:cs="Arial"/>
          <w:szCs w:val="20"/>
        </w:rPr>
      </w:pPr>
      <w:r>
        <w:rPr>
          <w:rFonts w:cs="Arial"/>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pPr>
        <w:pStyle w:val="Normal"/>
        <w:numPr>
          <w:ilvl w:val="1"/>
          <w:numId w:val="1"/>
        </w:numPr>
        <w:spacing w:lineRule="auto" w:line="276" w:before="120" w:after="120"/>
        <w:ind w:left="425" w:hanging="0"/>
        <w:jc w:val="both"/>
        <w:rPr>
          <w:rFonts w:cs="Arial"/>
          <w:szCs w:val="20"/>
        </w:rPr>
      </w:pPr>
      <w:r>
        <w:rPr>
          <w:rFonts w:cs="Arial"/>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1"/>
        </w:numPr>
        <w:spacing w:lineRule="auto" w:line="276" w:before="120" w:after="120"/>
        <w:ind w:left="425" w:hanging="0"/>
        <w:jc w:val="both"/>
        <w:rPr>
          <w:rFonts w:cs="Arial"/>
          <w:szCs w:val="20"/>
        </w:rPr>
      </w:pPr>
      <w:r>
        <w:rPr>
          <w:rFonts w:cs="Arial"/>
          <w:szCs w:val="2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pPr>
        <w:pStyle w:val="Normal"/>
        <w:numPr>
          <w:ilvl w:val="1"/>
          <w:numId w:val="1"/>
        </w:numPr>
        <w:spacing w:lineRule="auto" w:line="276" w:before="120" w:after="120"/>
        <w:ind w:left="425" w:hanging="0"/>
        <w:jc w:val="both"/>
        <w:rPr>
          <w:rFonts w:cs="Arial"/>
          <w:szCs w:val="20"/>
        </w:rPr>
      </w:pPr>
      <w:r>
        <w:rPr>
          <w:rFonts w:cs="Arial"/>
          <w:szCs w:val="20"/>
        </w:rPr>
        <w:t>Utilizar empregados habilitados e com conhecimentos básicos dos serviços a serem executados, em conformidade com as normas e determinações em vigor;</w:t>
      </w:r>
    </w:p>
    <w:p>
      <w:pPr>
        <w:pStyle w:val="Normal"/>
        <w:numPr>
          <w:ilvl w:val="1"/>
          <w:numId w:val="1"/>
        </w:numPr>
        <w:spacing w:lineRule="auto" w:line="276" w:before="120" w:after="120"/>
        <w:ind w:left="425" w:hanging="0"/>
        <w:jc w:val="both"/>
        <w:rPr>
          <w:rFonts w:cs="Arial"/>
          <w:szCs w:val="20"/>
        </w:rPr>
      </w:pPr>
      <w:r>
        <w:rPr>
          <w:rFonts w:cs="Arial"/>
          <w:szCs w:val="20"/>
        </w:rPr>
        <w:t>Vedar a utilização, na execução dos serviços, de empregado que seja familiar de agente público ocupante de cargo em comissão ou função de confiança no órgão Contratante, nos termos do artigo 7° do Decreto n° 7.203, de 2010;</w:t>
      </w:r>
    </w:p>
    <w:p>
      <w:pPr>
        <w:pStyle w:val="Normal"/>
        <w:numPr>
          <w:ilvl w:val="1"/>
          <w:numId w:val="1"/>
        </w:numPr>
        <w:spacing w:lineRule="auto" w:line="276" w:before="120" w:after="120"/>
        <w:ind w:left="425" w:hanging="0"/>
        <w:jc w:val="both"/>
        <w:rPr>
          <w:rFonts w:cs="Arial"/>
          <w:szCs w:val="20"/>
        </w:rPr>
      </w:pPr>
      <w:r>
        <w:rPr>
          <w:rFonts w:cs="Arial"/>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tab/>
      </w:r>
    </w:p>
    <w:p>
      <w:pPr>
        <w:pStyle w:val="Normal"/>
        <w:numPr>
          <w:ilvl w:val="1"/>
          <w:numId w:val="1"/>
        </w:numPr>
        <w:spacing w:lineRule="auto" w:line="276" w:before="120" w:after="120"/>
        <w:ind w:left="425" w:hanging="0"/>
        <w:jc w:val="both"/>
        <w:rPr>
          <w:rFonts w:cs="Arial"/>
          <w:szCs w:val="20"/>
          <w:lang w:eastAsia="en-US"/>
        </w:rPr>
      </w:pPr>
      <w:r>
        <w:rPr>
          <w:rFonts w:cs="Arial"/>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pPr>
        <w:pStyle w:val="Normal"/>
        <w:numPr>
          <w:ilvl w:val="1"/>
          <w:numId w:val="1"/>
        </w:numPr>
        <w:spacing w:lineRule="auto" w:line="276" w:before="120" w:after="120"/>
        <w:ind w:left="425" w:hanging="0"/>
        <w:jc w:val="both"/>
        <w:rPr>
          <w:rFonts w:cs="Arial"/>
          <w:szCs w:val="20"/>
        </w:rPr>
      </w:pPr>
      <w:r>
        <w:rPr>
          <w:rFonts w:cs="Arial"/>
          <w:szCs w:val="20"/>
        </w:rPr>
        <w:t>Comunicar ao Fiscal do contrato, no prazo de 24 (vinte e quatro) horas, qualquer ocorrência anormal ou acidente que se verifique no local dos serviços.</w:t>
      </w:r>
    </w:p>
    <w:p>
      <w:pPr>
        <w:pStyle w:val="Normal"/>
        <w:numPr>
          <w:ilvl w:val="1"/>
          <w:numId w:val="1"/>
        </w:numPr>
        <w:spacing w:lineRule="auto" w:line="276" w:before="120" w:after="120"/>
        <w:ind w:left="425" w:hanging="0"/>
        <w:jc w:val="both"/>
        <w:rPr>
          <w:rFonts w:cs="Arial"/>
          <w:szCs w:val="20"/>
        </w:rPr>
      </w:pPr>
      <w:r>
        <w:rPr>
          <w:rFonts w:cs="Arial"/>
          <w:szCs w:val="2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1"/>
        </w:numPr>
        <w:spacing w:lineRule="auto" w:line="276" w:before="120" w:after="120"/>
        <w:ind w:left="425" w:hanging="0"/>
        <w:jc w:val="both"/>
        <w:rPr>
          <w:rFonts w:cs="Arial"/>
          <w:szCs w:val="20"/>
        </w:rPr>
      </w:pPr>
      <w:r>
        <w:rPr>
          <w:rFonts w:cs="Arial"/>
          <w:szCs w:val="20"/>
        </w:rPr>
        <w:t>Paralisar, por determinação da Contratante, qualquer atividade que não esteja sendo executada de acordo com a boa técnica ou que ponha em risco a segurança de pessoas ou bens de terceiros.</w:t>
      </w:r>
    </w:p>
    <w:p>
      <w:pPr>
        <w:pStyle w:val="Normal"/>
        <w:numPr>
          <w:ilvl w:val="1"/>
          <w:numId w:val="1"/>
        </w:numPr>
        <w:spacing w:lineRule="auto" w:line="276" w:before="120" w:after="120"/>
        <w:ind w:left="425" w:hanging="0"/>
        <w:jc w:val="both"/>
        <w:rPr>
          <w:rFonts w:cs="Arial"/>
          <w:szCs w:val="20"/>
        </w:rPr>
      </w:pPr>
      <w:r>
        <w:rPr>
          <w:rFonts w:cs="Arial"/>
          <w:szCs w:val="20"/>
        </w:rPr>
        <w:t>Promover a guarda, manutenção e vigilância de materiais, ferramentas, e tudo o que for necessário à execução dos serviços, durante a vigência do contrato.</w:t>
      </w:r>
    </w:p>
    <w:p>
      <w:pPr>
        <w:pStyle w:val="Normal"/>
        <w:numPr>
          <w:ilvl w:val="1"/>
          <w:numId w:val="1"/>
        </w:numPr>
        <w:spacing w:lineRule="auto" w:line="276" w:before="120" w:after="120"/>
        <w:ind w:left="425" w:hanging="0"/>
        <w:jc w:val="both"/>
        <w:rPr>
          <w:rFonts w:cs="Arial"/>
          <w:szCs w:val="20"/>
        </w:rPr>
      </w:pPr>
      <w:r>
        <w:rPr>
          <w:rFonts w:cs="Arial"/>
          <w:szCs w:val="20"/>
        </w:rPr>
        <w:t>Promover a organização técnica e administrativa dos serviços, de modo a conduzi-los eficaz e eficientemente, de acordo com os documentos e especificações que integram este Termo de Referência, no prazo determinado.</w:t>
      </w:r>
    </w:p>
    <w:p>
      <w:pPr>
        <w:pStyle w:val="Normal"/>
        <w:numPr>
          <w:ilvl w:val="1"/>
          <w:numId w:val="1"/>
        </w:numPr>
        <w:spacing w:lineRule="auto" w:line="276" w:before="120" w:after="120"/>
        <w:ind w:left="425" w:hanging="0"/>
        <w:jc w:val="both"/>
        <w:rPr>
          <w:rFonts w:cs="Arial"/>
          <w:szCs w:val="20"/>
        </w:rPr>
      </w:pPr>
      <w:r>
        <w:rPr>
          <w:rFonts w:cs="Arial"/>
          <w:szCs w:val="20"/>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1"/>
        </w:numPr>
        <w:spacing w:lineRule="auto" w:line="276" w:before="120" w:after="120"/>
        <w:ind w:left="425" w:hanging="0"/>
        <w:jc w:val="both"/>
        <w:rPr>
          <w:rFonts w:cs="Arial"/>
          <w:szCs w:val="20"/>
        </w:rPr>
      </w:pPr>
      <w:r>
        <w:rPr>
          <w:rFonts w:cs="Arial"/>
          <w:szCs w:val="20"/>
        </w:rPr>
        <w:t>Submeter previamente, por escrito, à Contratante, para análise e aprovação, quaisquer mudanças nos métodos executivos que fujam às especificações do memorial descritivo.</w:t>
      </w:r>
    </w:p>
    <w:p>
      <w:pPr>
        <w:pStyle w:val="Normal"/>
        <w:numPr>
          <w:ilvl w:val="1"/>
          <w:numId w:val="1"/>
        </w:numPr>
        <w:spacing w:lineRule="auto" w:line="276" w:before="120" w:after="120"/>
        <w:ind w:left="425" w:hanging="0"/>
        <w:jc w:val="both"/>
        <w:rPr>
          <w:rFonts w:cs="Arial"/>
          <w:szCs w:val="20"/>
        </w:rPr>
      </w:pPr>
      <w:r>
        <w:rPr>
          <w:rFonts w:cs="Arial"/>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
        <w:numPr>
          <w:ilvl w:val="1"/>
          <w:numId w:val="1"/>
        </w:numPr>
        <w:spacing w:lineRule="auto" w:line="276" w:before="120" w:after="120"/>
        <w:ind w:left="425" w:hanging="0"/>
        <w:jc w:val="both"/>
        <w:rPr>
          <w:rFonts w:cs="Arial"/>
          <w:szCs w:val="20"/>
        </w:rPr>
      </w:pPr>
      <w:r>
        <w:rPr>
          <w:rFonts w:cs="Arial"/>
          <w:szCs w:val="20"/>
        </w:rPr>
        <w:t>Manter durante toda a vigência do contrato, em compatibilidade com as obrigações assumidas, todas as condições de habilitação e qualificação exigidas na licitação;</w:t>
      </w:r>
    </w:p>
    <w:p>
      <w:pPr>
        <w:pStyle w:val="ListParagraph"/>
        <w:numPr>
          <w:ilvl w:val="1"/>
          <w:numId w:val="1"/>
        </w:numPr>
        <w:spacing w:lineRule="auto" w:line="276" w:before="120" w:after="120"/>
        <w:ind w:left="425" w:hanging="0"/>
        <w:contextualSpacing/>
        <w:jc w:val="both"/>
        <w:rPr>
          <w:rFonts w:cs="Arial"/>
          <w:szCs w:val="20"/>
        </w:rPr>
      </w:pPr>
      <w:r>
        <w:rPr>
          <w:rFonts w:cs="Arial"/>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Pr>
          <w:rFonts w:cs="Arial"/>
          <w:i/>
          <w:iCs/>
          <w:szCs w:val="20"/>
        </w:rPr>
        <w:t>.</w:t>
      </w:r>
    </w:p>
    <w:p>
      <w:pPr>
        <w:pStyle w:val="Normal"/>
        <w:numPr>
          <w:ilvl w:val="1"/>
          <w:numId w:val="1"/>
        </w:numPr>
        <w:spacing w:lineRule="auto" w:line="276" w:before="120" w:after="120"/>
        <w:ind w:left="425" w:hanging="0"/>
        <w:jc w:val="both"/>
        <w:rPr>
          <w:rFonts w:cs="Arial"/>
          <w:szCs w:val="20"/>
        </w:rPr>
      </w:pPr>
      <w:r>
        <w:rPr>
          <w:rFonts w:cs="Arial"/>
          <w:szCs w:val="20"/>
        </w:rPr>
        <w:t>Guardar sigilo sobre todas as informações obtidas em decorrência do cumprimento do contrato;</w:t>
      </w:r>
    </w:p>
    <w:p>
      <w:pPr>
        <w:pStyle w:val="Normal"/>
        <w:numPr>
          <w:ilvl w:val="1"/>
          <w:numId w:val="1"/>
        </w:numPr>
        <w:spacing w:lineRule="auto" w:line="276" w:before="120" w:after="120"/>
        <w:ind w:left="425" w:hanging="0"/>
        <w:jc w:val="both"/>
        <w:rPr>
          <w:rFonts w:cs="Arial"/>
          <w:szCs w:val="20"/>
        </w:rPr>
      </w:pPr>
      <w:r>
        <w:rPr>
          <w:rFonts w:cs="Arial"/>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pPr>
        <w:pStyle w:val="Normal"/>
        <w:numPr>
          <w:ilvl w:val="1"/>
          <w:numId w:val="1"/>
        </w:numPr>
        <w:spacing w:lineRule="auto" w:line="276" w:before="120" w:after="120"/>
        <w:ind w:left="425" w:hanging="0"/>
        <w:jc w:val="both"/>
        <w:rPr>
          <w:rFonts w:cs="Arial"/>
          <w:szCs w:val="20"/>
        </w:rPr>
      </w:pPr>
      <w:r>
        <w:rPr>
          <w:rFonts w:cs="Arial"/>
          <w:szCs w:val="20"/>
        </w:rPr>
        <w:t>Cumprir, além dos postulados legais vigentes de âmbito federal, estadual ou municipal, as normas de segurança da Contratante;</w:t>
      </w:r>
    </w:p>
    <w:p>
      <w:pPr>
        <w:pStyle w:val="Normal"/>
        <w:numPr>
          <w:ilvl w:val="1"/>
          <w:numId w:val="1"/>
        </w:numPr>
        <w:spacing w:lineRule="auto" w:line="276" w:before="120" w:after="120"/>
        <w:ind w:left="425" w:hanging="0"/>
        <w:jc w:val="both"/>
        <w:rPr>
          <w:rFonts w:cs="Arial"/>
          <w:szCs w:val="20"/>
        </w:rPr>
      </w:pPr>
      <w:r>
        <w:rPr>
          <w:rFonts w:cs="Arial"/>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1"/>
        </w:numPr>
        <w:spacing w:lineRule="auto" w:line="276" w:before="120" w:after="120"/>
        <w:ind w:left="425" w:hanging="0"/>
        <w:jc w:val="both"/>
        <w:rPr>
          <w:rFonts w:cs="Arial"/>
          <w:szCs w:val="20"/>
        </w:rPr>
      </w:pPr>
      <w:r>
        <w:rPr>
          <w:rFonts w:cs="Arial"/>
          <w:szCs w:val="20"/>
        </w:rPr>
        <w:t>Assegurar à CONTRATANTE, em conformidade com o previsto no subitem 6.1, “a”e “b”, do Anexo VII – F da Instrução Normativa SEGES/MP nº 5, de 25/05/2017:</w:t>
      </w:r>
    </w:p>
    <w:p>
      <w:pPr>
        <w:pStyle w:val="Normal"/>
        <w:numPr>
          <w:ilvl w:val="2"/>
          <w:numId w:val="1"/>
        </w:numPr>
        <w:spacing w:lineRule="auto" w:line="276" w:before="120" w:after="120"/>
        <w:jc w:val="both"/>
        <w:rPr>
          <w:rFonts w:cs="Arial"/>
          <w:szCs w:val="20"/>
        </w:rPr>
      </w:pPr>
      <w:r>
        <w:rPr>
          <w:rFonts w:cs="Arial"/>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1"/>
        </w:numPr>
        <w:spacing w:lineRule="auto" w:line="276" w:before="120" w:after="120"/>
        <w:jc w:val="both"/>
        <w:rPr>
          <w:rFonts w:cs="Arial"/>
          <w:szCs w:val="20"/>
        </w:rPr>
      </w:pPr>
      <w:r>
        <w:rPr>
          <w:rFonts w:cs="Arial"/>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1"/>
        </w:numPr>
        <w:spacing w:lineRule="auto" w:line="276" w:before="120" w:after="120"/>
        <w:ind w:left="425" w:hanging="0"/>
        <w:jc w:val="both"/>
        <w:rPr>
          <w:rFonts w:cs="Arial"/>
          <w:szCs w:val="20"/>
        </w:rPr>
      </w:pPr>
      <w:r>
        <w:rPr>
          <w:rFonts w:cs="Arial"/>
          <w:szCs w:val="20"/>
        </w:rPr>
        <w:t>Comprovar, ao longo da vigência contratual, a regularidade fiscal das microempresas e/ou empresas de pequeno porte subcontratadas no decorrer da execução do contrato, quando se tratar da subcontratação prevista no artigo 48, II, da Lei Complementar n. 123, de 2006.</w:t>
      </w:r>
    </w:p>
    <w:p>
      <w:pPr>
        <w:pStyle w:val="Normal"/>
        <w:numPr>
          <w:ilvl w:val="1"/>
          <w:numId w:val="1"/>
        </w:numPr>
        <w:spacing w:lineRule="auto" w:line="276" w:before="120" w:after="120"/>
        <w:ind w:left="425" w:hanging="0"/>
        <w:jc w:val="both"/>
        <w:rPr>
          <w:rFonts w:cs="Arial"/>
          <w:szCs w:val="20"/>
        </w:rPr>
      </w:pPr>
      <w:r>
        <w:rPr>
          <w:rFonts w:cs="Arial"/>
          <w:szCs w:val="20"/>
        </w:rPr>
        <w:t>Substituir a empresa subcontratada, no prazo máximo de trinta dias, na hipótese de extinção da subcontratação,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w:t>
      </w:r>
    </w:p>
    <w:p>
      <w:pPr>
        <w:pStyle w:val="Normal"/>
        <w:numPr>
          <w:ilvl w:val="1"/>
          <w:numId w:val="1"/>
        </w:numPr>
        <w:spacing w:lineRule="auto" w:line="276" w:before="120" w:after="120"/>
        <w:ind w:left="425" w:hanging="0"/>
        <w:jc w:val="both"/>
        <w:rPr>
          <w:rFonts w:cs="Arial"/>
          <w:szCs w:val="20"/>
        </w:rPr>
      </w:pPr>
      <w:r>
        <w:rPr>
          <w:rFonts w:cs="Arial"/>
          <w:szCs w:val="20"/>
        </w:rPr>
        <w:t>Responsabilizar-se pela padronização, pela compatibilidade, pelo gerenciamento centralizado e pela qualidade da subcontratação.</w:t>
      </w:r>
    </w:p>
    <w:p>
      <w:pPr>
        <w:pStyle w:val="Normal"/>
        <w:numPr>
          <w:ilvl w:val="1"/>
          <w:numId w:val="1"/>
        </w:numPr>
        <w:spacing w:lineRule="auto" w:line="276" w:before="120" w:after="120"/>
        <w:ind w:left="425" w:hanging="0"/>
        <w:jc w:val="both"/>
        <w:rPr>
          <w:rFonts w:cs="Arial"/>
          <w:szCs w:val="20"/>
        </w:rPr>
      </w:pPr>
      <w:r>
        <w:rPr>
          <w:rFonts w:cs="Arial"/>
          <w:szCs w:val="20"/>
        </w:rPr>
        <w:t>Realizar a transição contratual com transferência de conhecimento, tecnologia e técnicas empregadas, sem perda de informações, podendo exigir, inclusive, a capacitação dos técnicos da contratante ou da nova empresa que continuará a execução dos serviços.</w:t>
      </w:r>
    </w:p>
    <w:p>
      <w:pPr>
        <w:pStyle w:val="Nivel1"/>
        <w:numPr>
          <w:ilvl w:val="0"/>
          <w:numId w:val="1"/>
        </w:numPr>
        <w:rPr>
          <w:rFonts w:cs="Arial"/>
          <w:color w:val="auto"/>
        </w:rPr>
      </w:pPr>
      <w:r>
        <w:rPr>
          <w:rFonts w:cs="Arial"/>
          <w:color w:val="auto"/>
        </w:rPr>
        <w:t xml:space="preserve">DA SUBCONTRATAÇÃO  </w:t>
      </w:r>
    </w:p>
    <w:p>
      <w:pPr>
        <w:pStyle w:val="Nivel1"/>
        <w:numPr>
          <w:ilvl w:val="1"/>
          <w:numId w:val="1"/>
        </w:numPr>
        <w:spacing w:before="480" w:after="120"/>
        <w:rPr>
          <w:rFonts w:cs="Arial"/>
          <w:b w:val="false"/>
          <w:b w:val="false"/>
          <w:color w:val="auto"/>
        </w:rPr>
      </w:pPr>
      <w:r>
        <w:rPr>
          <w:rFonts w:cs="Arial"/>
          <w:b w:val="false"/>
          <w:color w:val="auto"/>
        </w:rPr>
        <w:t>Não será admitida a subcontratação do objeto licitatório.</w:t>
      </w:r>
    </w:p>
    <w:p>
      <w:pPr>
        <w:pStyle w:val="Nivel1"/>
        <w:numPr>
          <w:ilvl w:val="0"/>
          <w:numId w:val="1"/>
        </w:numPr>
        <w:rPr>
          <w:rFonts w:cs="Arial"/>
          <w:color w:val="auto"/>
          <w:lang w:eastAsia="en-US"/>
        </w:rPr>
      </w:pPr>
      <w:r>
        <w:rPr>
          <w:rFonts w:cs="Arial"/>
          <w:color w:val="auto"/>
          <w:lang w:eastAsia="en-US"/>
        </w:rPr>
        <w:t>ALTERAÇÃO SUBJETIVA</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pPr>
        <w:pStyle w:val="Nivel1"/>
        <w:numPr>
          <w:ilvl w:val="0"/>
          <w:numId w:val="1"/>
        </w:numPr>
        <w:rPr>
          <w:rFonts w:cs="Arial"/>
          <w:color w:val="auto"/>
          <w:lang w:eastAsia="en-US"/>
        </w:rPr>
      </w:pPr>
      <w:r>
        <w:rPr>
          <w:rFonts w:cs="Arial"/>
          <w:color w:val="auto"/>
          <w:lang w:eastAsia="en-US"/>
        </w:rPr>
        <w:t xml:space="preserve">CONTROLE E FISCALIZAÇÃO DA EXECUÇÃO </w:t>
      </w:r>
    </w:p>
    <w:p>
      <w:pPr>
        <w:pStyle w:val="Normal"/>
        <w:spacing w:lineRule="auto" w:line="276" w:before="120" w:after="120"/>
        <w:ind w:left="425" w:hanging="0"/>
        <w:jc w:val="both"/>
        <w:rPr>
          <w:rFonts w:cs="Arial"/>
          <w:szCs w:val="20"/>
          <w:lang w:eastAsia="en-US"/>
        </w:rPr>
      </w:pPr>
      <w:r>
        <w:rPr>
          <w:rFonts w:cs="Arial"/>
          <w:szCs w:val="20"/>
          <w:lang w:eastAsia="en-US"/>
        </w:rPr>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O representante da Contratante deverá ter a qualificação necessária para o acompanhamento e controle da execução dos serviços e do contrato.</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A verificação da adequação da prestação do serviço deverá ser realizada com base nos critérios previstos neste Termo de Referência.</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numPr>
          <w:ilvl w:val="1"/>
          <w:numId w:val="1"/>
        </w:numPr>
        <w:spacing w:lineRule="auto" w:line="276" w:before="120" w:after="120"/>
        <w:ind w:left="425" w:hanging="0"/>
        <w:jc w:val="both"/>
        <w:rPr/>
      </w:pPr>
      <w:r>
        <w:rPr>
          <w:rFonts w:cs="Arial"/>
          <w:szCs w:val="20"/>
        </w:rPr>
        <w:t xml:space="preserve">A fiscalização técnica dos contratos avaliará constantemente a execução do objeto e utilizará </w:t>
      </w:r>
      <w:r>
        <w:rPr>
          <w:rFonts w:cs="Arial"/>
          <w:i/>
          <w:szCs w:val="20"/>
        </w:rPr>
        <w:t xml:space="preserve">o Instrumento de </w:t>
      </w:r>
      <w:r>
        <w:rPr>
          <w:rFonts w:cs="Arial"/>
          <w:i/>
          <w:szCs w:val="20"/>
          <w:lang w:eastAsia="en-US"/>
        </w:rPr>
        <w:t>Medição</w:t>
      </w:r>
      <w:r>
        <w:rPr>
          <w:rFonts w:cs="Arial"/>
          <w:i/>
          <w:szCs w:val="20"/>
        </w:rPr>
        <w:t xml:space="preserve"> de Resultado (IMR) ou outro instrumento substituto para aferição da qualidade da prestação dos serviços</w:t>
      </w:r>
      <w:r>
        <w:rPr>
          <w:rFonts w:cs="Arial"/>
          <w:szCs w:val="20"/>
        </w:rPr>
        <w:t>, devendo haver o redimensionamento no pagamento com base nos indicadores estabelecidos, sempre que a CONTRATADA:</w:t>
      </w:r>
    </w:p>
    <w:p>
      <w:pPr>
        <w:pStyle w:val="Normal"/>
        <w:spacing w:lineRule="auto" w:line="276" w:before="120" w:after="120"/>
        <w:ind w:left="1416" w:hanging="0"/>
        <w:jc w:val="both"/>
        <w:rPr>
          <w:rFonts w:cs="Arial"/>
          <w:szCs w:val="20"/>
        </w:rPr>
      </w:pPr>
      <w:r>
        <w:rPr>
          <w:rFonts w:cs="Arial"/>
          <w:szCs w:val="20"/>
        </w:rPr>
        <w:t>a) não produzir os resultados, deixar de executar, ou não executar com a qualidade mínima exigida as atividades contratadas; ou</w:t>
      </w:r>
    </w:p>
    <w:p>
      <w:pPr>
        <w:pStyle w:val="Normal"/>
        <w:spacing w:lineRule="auto" w:line="276" w:before="120" w:after="120"/>
        <w:ind w:left="1416" w:hanging="0"/>
        <w:jc w:val="both"/>
        <w:rPr>
          <w:rFonts w:cs="Arial"/>
          <w:szCs w:val="20"/>
        </w:rPr>
      </w:pPr>
      <w:r>
        <w:rPr>
          <w:rFonts w:cs="Arial"/>
          <w:szCs w:val="20"/>
        </w:rPr>
        <w:t>b) deixar de utilizar materiais e recursos humanos exigidos para a execução do serviço, ou utilizá-los com qualidade ou quantidade inferior à demandada.</w:t>
      </w:r>
    </w:p>
    <w:p>
      <w:pPr>
        <w:pStyle w:val="Normal"/>
        <w:numPr>
          <w:ilvl w:val="2"/>
          <w:numId w:val="1"/>
        </w:numPr>
        <w:spacing w:lineRule="auto" w:line="276" w:before="120" w:after="120"/>
        <w:jc w:val="both"/>
        <w:rPr>
          <w:rFonts w:cs="Arial"/>
          <w:szCs w:val="20"/>
        </w:rPr>
      </w:pPr>
      <w:r>
        <w:rPr>
          <w:rFonts w:cs="Arial"/>
          <w:szCs w:val="20"/>
        </w:rPr>
        <w:t xml:space="preserve">A </w:t>
      </w:r>
      <w:r>
        <w:rPr>
          <w:rFonts w:cs="Arial"/>
          <w:szCs w:val="20"/>
          <w:lang w:eastAsia="en-US"/>
        </w:rPr>
        <w:t>utilização</w:t>
      </w:r>
      <w:r>
        <w:rPr>
          <w:rFonts w:cs="Arial"/>
          <w:szCs w:val="20"/>
        </w:rPr>
        <w:t xml:space="preserve"> do IMR não impede a aplicação concomitante de outros mecanismos para a avaliação da prestação dos serviços.</w:t>
      </w:r>
    </w:p>
    <w:p>
      <w:pPr>
        <w:pStyle w:val="Normal"/>
        <w:numPr>
          <w:ilvl w:val="1"/>
          <w:numId w:val="1"/>
        </w:numPr>
        <w:spacing w:lineRule="auto" w:line="276" w:before="120" w:after="120"/>
        <w:ind w:left="425" w:hanging="0"/>
        <w:jc w:val="both"/>
        <w:rPr>
          <w:rFonts w:cs="Arial"/>
          <w:szCs w:val="20"/>
        </w:rPr>
      </w:pPr>
      <w:r>
        <w:rPr>
          <w:rFonts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pPr>
        <w:pStyle w:val="Normal"/>
        <w:numPr>
          <w:ilvl w:val="1"/>
          <w:numId w:val="1"/>
        </w:numPr>
        <w:spacing w:lineRule="auto" w:line="276" w:before="120" w:after="120"/>
        <w:ind w:left="425" w:hanging="0"/>
        <w:jc w:val="both"/>
        <w:rPr>
          <w:rFonts w:cs="Arial"/>
          <w:szCs w:val="20"/>
        </w:rPr>
      </w:pPr>
      <w:r>
        <w:rPr>
          <w:rFonts w:cs="Arial"/>
          <w:szCs w:val="20"/>
        </w:rPr>
        <w:t xml:space="preserve">O fiscal técnico deverá apresentar ao preposto da CONTRATADA a avaliação da execução do objeto ou, se for o caso, a avaliação de desempenho e qualidade da prestação dos serviços realizada. </w:t>
      </w:r>
    </w:p>
    <w:p>
      <w:pPr>
        <w:pStyle w:val="Normal"/>
        <w:numPr>
          <w:ilvl w:val="1"/>
          <w:numId w:val="1"/>
        </w:numPr>
        <w:spacing w:lineRule="auto" w:line="276" w:before="120" w:after="120"/>
        <w:ind w:left="425" w:hanging="0"/>
        <w:jc w:val="both"/>
        <w:rPr>
          <w:rFonts w:cs="Arial"/>
          <w:szCs w:val="20"/>
        </w:rPr>
      </w:pPr>
      <w:r>
        <w:rPr>
          <w:rFonts w:cs="Arial"/>
          <w:szCs w:val="20"/>
        </w:rPr>
        <w:t xml:space="preserve">Em hipótese alguma, será admitido que a própria CONTRATADA materialize a avaliação de desempenho e qualidade da prestação dos serviços realizada. </w:t>
      </w:r>
    </w:p>
    <w:p>
      <w:pPr>
        <w:pStyle w:val="Normal"/>
        <w:numPr>
          <w:ilvl w:val="1"/>
          <w:numId w:val="1"/>
        </w:numPr>
        <w:spacing w:lineRule="auto" w:line="276" w:before="120" w:after="120"/>
        <w:ind w:left="425" w:hanging="0"/>
        <w:jc w:val="both"/>
        <w:rPr>
          <w:rFonts w:cs="Arial"/>
          <w:szCs w:val="20"/>
        </w:rPr>
      </w:pPr>
      <w:r>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pPr>
        <w:pStyle w:val="Normal"/>
        <w:numPr>
          <w:ilvl w:val="1"/>
          <w:numId w:val="1"/>
        </w:numPr>
        <w:spacing w:lineRule="auto" w:line="276" w:before="120" w:after="120"/>
        <w:ind w:left="425" w:hanging="0"/>
        <w:jc w:val="both"/>
        <w:rPr>
          <w:rFonts w:cs="Arial"/>
          <w:szCs w:val="20"/>
        </w:rPr>
      </w:pPr>
      <w:r>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pPr>
        <w:pStyle w:val="Normal"/>
        <w:numPr>
          <w:ilvl w:val="1"/>
          <w:numId w:val="1"/>
        </w:numPr>
        <w:spacing w:lineRule="auto" w:line="276" w:before="120" w:after="120"/>
        <w:ind w:left="425" w:hanging="0"/>
        <w:jc w:val="both"/>
        <w:rPr>
          <w:rFonts w:cs="Arial"/>
          <w:szCs w:val="20"/>
        </w:rPr>
      </w:pPr>
      <w:r>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pPr>
        <w:pStyle w:val="Normal"/>
        <w:numPr>
          <w:ilvl w:val="1"/>
          <w:numId w:val="1"/>
        </w:numPr>
        <w:spacing w:lineRule="auto" w:line="276" w:before="120" w:after="120"/>
        <w:ind w:left="425" w:hanging="0"/>
        <w:jc w:val="both"/>
        <w:rPr>
          <w:rFonts w:cs="Arial"/>
          <w:szCs w:val="20"/>
        </w:rPr>
      </w:pPr>
      <w:r>
        <w:rPr>
          <w:rFonts w:cs="Arial"/>
          <w:szCs w:val="20"/>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pPr>
        <w:pStyle w:val="ListParagraph"/>
        <w:numPr>
          <w:ilvl w:val="1"/>
          <w:numId w:val="1"/>
        </w:numPr>
        <w:spacing w:lineRule="auto" w:line="276" w:before="120" w:after="120"/>
        <w:ind w:left="425" w:hanging="0"/>
        <w:contextualSpacing/>
        <w:jc w:val="both"/>
        <w:rPr>
          <w:rFonts w:cs="Arial"/>
          <w:szCs w:val="20"/>
        </w:rPr>
      </w:pPr>
      <w:r>
        <w:rPr>
          <w:rFonts w:cs="Arial"/>
          <w:szCs w:val="20"/>
        </w:rPr>
        <w:t>As disposições previstas nesta cláusula não excluem o disposto no Anexo VIII da Instrução Normativa SLTI/MP nº 05, de 2017, aplicável no que for pertinente à contratação.</w:t>
      </w:r>
    </w:p>
    <w:p>
      <w:pPr>
        <w:pStyle w:val="Normal"/>
        <w:numPr>
          <w:ilvl w:val="1"/>
          <w:numId w:val="1"/>
        </w:numPr>
        <w:spacing w:lineRule="auto" w:line="276" w:before="120" w:after="120"/>
        <w:ind w:left="425" w:hanging="0"/>
        <w:jc w:val="both"/>
        <w:rPr>
          <w:rFonts w:cs="Arial"/>
          <w:szCs w:val="20"/>
        </w:rPr>
      </w:pPr>
      <w:r>
        <w:rPr>
          <w:rFonts w:cs="Arial"/>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pPr>
        <w:pStyle w:val="Nivel1"/>
        <w:numPr>
          <w:ilvl w:val="0"/>
          <w:numId w:val="1"/>
        </w:numPr>
        <w:rPr>
          <w:rFonts w:cs="Arial"/>
          <w:color w:val="auto"/>
          <w:lang w:eastAsia="en-US"/>
        </w:rPr>
      </w:pPr>
      <w:r>
        <w:rPr>
          <w:rFonts w:cs="Arial"/>
          <w:color w:val="auto"/>
        </w:rPr>
        <w:t>DO RECEBIMENTO E ACEITAÇÃO DO OBJETO</w:t>
      </w:r>
    </w:p>
    <w:p>
      <w:pPr>
        <w:pStyle w:val="Normal"/>
        <w:numPr>
          <w:ilvl w:val="1"/>
          <w:numId w:val="1"/>
        </w:numPr>
        <w:spacing w:lineRule="auto" w:line="276" w:before="120" w:after="120"/>
        <w:ind w:left="425" w:hanging="0"/>
        <w:jc w:val="both"/>
        <w:rPr>
          <w:rFonts w:cs="Arial"/>
          <w:szCs w:val="20"/>
          <w:lang w:eastAsia="en-US"/>
        </w:rPr>
      </w:pPr>
      <w:r>
        <w:rPr>
          <w:rFonts w:cs="Arial"/>
          <w:iCs/>
          <w:szCs w:val="20"/>
        </w:rPr>
        <w:t>A emissão da Nota Fiscal/Fatura deve ser precedida do recebimento definitivo dos serviços, nos termos abaixo.</w:t>
      </w:r>
    </w:p>
    <w:p>
      <w:pPr>
        <w:pStyle w:val="Normal"/>
        <w:numPr>
          <w:ilvl w:val="1"/>
          <w:numId w:val="1"/>
        </w:numPr>
        <w:spacing w:lineRule="auto" w:line="276" w:before="120" w:after="120"/>
        <w:ind w:left="425" w:hanging="0"/>
        <w:jc w:val="both"/>
        <w:rPr>
          <w:rFonts w:cs="Arial"/>
          <w:szCs w:val="20"/>
          <w:lang w:eastAsia="en-US"/>
        </w:rPr>
      </w:pPr>
      <w:r>
        <w:rPr>
          <w:rFonts w:cs="Arial"/>
          <w:iCs/>
          <w:szCs w:val="20"/>
        </w:rPr>
        <w:t>No</w:t>
      </w:r>
      <w:r>
        <w:rPr>
          <w:rFonts w:cs="Arial"/>
          <w:szCs w:val="20"/>
          <w:lang w:eastAsia="en-US"/>
        </w:rPr>
        <w:t xml:space="preserve"> prazo de até 5 dias corridos do adimplemento da parcela, a CONTRATADA deverá entregar toda a documentação comprobatória do cumprimento da obrigação contratual;  </w:t>
      </w:r>
    </w:p>
    <w:p>
      <w:pPr>
        <w:pStyle w:val="Normal"/>
        <w:numPr>
          <w:ilvl w:val="1"/>
          <w:numId w:val="1"/>
        </w:numPr>
        <w:spacing w:lineRule="auto" w:line="276" w:before="120" w:after="120"/>
        <w:ind w:left="425" w:hanging="0"/>
        <w:jc w:val="both"/>
        <w:rPr>
          <w:rFonts w:cs="Arial"/>
          <w:szCs w:val="20"/>
          <w:lang w:eastAsia="en-US"/>
        </w:rPr>
      </w:pPr>
      <w:r>
        <w:rPr>
          <w:rFonts w:cs="Arial"/>
          <w:szCs w:val="20"/>
        </w:rPr>
        <w:t>O recebimento provisório será realizado pelo fiscal técnico e setorial ou pela equipe de fiscalização após a entrega da documentação acima, da seguinte forma:</w:t>
      </w:r>
    </w:p>
    <w:p>
      <w:pPr>
        <w:pStyle w:val="Normal"/>
        <w:numPr>
          <w:ilvl w:val="2"/>
          <w:numId w:val="1"/>
        </w:numPr>
        <w:spacing w:lineRule="auto" w:line="276" w:before="120" w:after="120"/>
        <w:jc w:val="both"/>
        <w:rPr>
          <w:rFonts w:cs="Arial"/>
          <w:szCs w:val="20"/>
          <w:lang w:eastAsia="en-US"/>
        </w:rPr>
      </w:pPr>
      <w:r>
        <w:rPr>
          <w:rFonts w:cs="Arial"/>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pPr>
        <w:pStyle w:val="Normal"/>
        <w:numPr>
          <w:ilvl w:val="3"/>
          <w:numId w:val="1"/>
        </w:numPr>
        <w:spacing w:lineRule="auto" w:line="276" w:before="120" w:after="120"/>
        <w:jc w:val="both"/>
        <w:rPr>
          <w:rFonts w:cs="Arial"/>
          <w:szCs w:val="20"/>
          <w:lang w:eastAsia="en-US"/>
        </w:rPr>
      </w:pPr>
      <w:r>
        <w:rPr>
          <w:rFonts w:cs="Arial"/>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ormal"/>
        <w:numPr>
          <w:ilvl w:val="3"/>
          <w:numId w:val="1"/>
        </w:numPr>
        <w:spacing w:lineRule="auto" w:line="276" w:before="120" w:after="120"/>
        <w:jc w:val="both"/>
        <w:rPr>
          <w:rFonts w:cs="Arial"/>
          <w:szCs w:val="20"/>
          <w:lang w:eastAsia="en-US"/>
        </w:rPr>
      </w:pPr>
      <w:r>
        <w:rPr>
          <w:rFonts w:cs="Arial"/>
          <w:szCs w:val="2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ListParagraph"/>
        <w:numPr>
          <w:ilvl w:val="3"/>
          <w:numId w:val="1"/>
        </w:numPr>
        <w:spacing w:lineRule="auto" w:line="276" w:before="120" w:after="120"/>
        <w:contextualSpacing/>
        <w:jc w:val="both"/>
        <w:rPr>
          <w:rFonts w:cs="Arial"/>
          <w:szCs w:val="20"/>
          <w:lang w:eastAsia="en-US"/>
        </w:rPr>
      </w:pPr>
      <w:r>
        <w:rPr>
          <w:rFonts w:cs="Arial"/>
          <w:szCs w:val="20"/>
          <w:lang w:eastAsia="en-US"/>
        </w:rPr>
        <w:t>O recebimento provisório também ficará sujeito, quando cabível, à conclusão de todos os testes de campo e à entrega dos Manuais e Instruções exigíveis.</w:t>
      </w:r>
    </w:p>
    <w:p>
      <w:pPr>
        <w:pStyle w:val="Normal"/>
        <w:numPr>
          <w:ilvl w:val="2"/>
          <w:numId w:val="1"/>
        </w:numPr>
        <w:spacing w:lineRule="auto" w:line="276" w:before="120" w:after="120"/>
        <w:jc w:val="both"/>
        <w:rPr>
          <w:rFonts w:cs="Arial"/>
          <w:szCs w:val="20"/>
          <w:lang w:eastAsia="en-US"/>
        </w:rPr>
      </w:pPr>
      <w:r>
        <w:rPr>
          <w:rFonts w:cs="Arial"/>
          <w:szCs w:val="20"/>
          <w:lang w:eastAsia="en-US"/>
        </w:rPr>
        <w:t xml:space="preserve">No prazo de até </w:t>
      </w:r>
      <w:r>
        <w:rPr>
          <w:rFonts w:cs="Arial"/>
          <w:i/>
          <w:szCs w:val="20"/>
          <w:lang w:eastAsia="en-US"/>
        </w:rPr>
        <w:t xml:space="preserve">10 dias corridos </w:t>
      </w:r>
      <w:r>
        <w:rPr>
          <w:rFonts w:cs="Arial"/>
          <w:szCs w:val="20"/>
          <w:lang w:eastAsia="en-US"/>
        </w:rPr>
        <w:t xml:space="preserve">a partir do recebimento dos documentos da CONTRATADA, cada fiscal ou a equipe de fiscalização deverá elaborar Relatório Circunstanciado em consonância com suas atribuições, e encaminhá-lo ao gestor do contrato. </w:t>
      </w:r>
    </w:p>
    <w:p>
      <w:pPr>
        <w:pStyle w:val="Normal"/>
        <w:numPr>
          <w:ilvl w:val="3"/>
          <w:numId w:val="1"/>
        </w:numPr>
        <w:spacing w:lineRule="auto" w:line="276" w:before="120" w:after="120"/>
        <w:jc w:val="both"/>
        <w:rPr>
          <w:rFonts w:cs="Arial"/>
          <w:szCs w:val="20"/>
          <w:lang w:eastAsia="en-US"/>
        </w:rPr>
      </w:pPr>
      <w:r>
        <w:rPr>
          <w:rFonts w:cs="Arial"/>
          <w:szCs w:val="20"/>
        </w:rPr>
        <w:t xml:space="preserve">quando a fiscalização for exercida por um único servidor, o relatório circunstanciado </w:t>
      </w:r>
      <w:r>
        <w:rPr>
          <w:rFonts w:cs="Arial"/>
          <w:szCs w:val="20"/>
          <w:lang w:eastAsia="en-US"/>
        </w:rPr>
        <w:t>deverá</w:t>
      </w:r>
      <w:r>
        <w:rPr>
          <w:rFonts w:cs="Arial"/>
          <w:szCs w:val="20"/>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ormal"/>
        <w:numPr>
          <w:ilvl w:val="3"/>
          <w:numId w:val="1"/>
        </w:numPr>
        <w:spacing w:lineRule="auto" w:line="276" w:before="120" w:after="120"/>
        <w:jc w:val="both"/>
        <w:rPr>
          <w:rFonts w:cs="Arial"/>
          <w:szCs w:val="20"/>
          <w:lang w:eastAsia="en-US"/>
        </w:rPr>
      </w:pPr>
      <w:r>
        <w:rPr>
          <w:rFonts w:cs="Arial"/>
          <w:szCs w:val="20"/>
        </w:rPr>
        <w:t xml:space="preserve">Será considerado como ocorrido o recebimento provisório com a entrega do relatório circunstanciado ou, em havendo mais de um a ser feito, com a entrega do último. </w:t>
      </w:r>
    </w:p>
    <w:p>
      <w:pPr>
        <w:pStyle w:val="ListParagraph"/>
        <w:numPr>
          <w:ilvl w:val="4"/>
          <w:numId w:val="1"/>
        </w:numPr>
        <w:spacing w:lineRule="auto" w:line="276" w:before="120" w:after="120"/>
        <w:contextualSpacing/>
        <w:jc w:val="both"/>
        <w:rPr>
          <w:rFonts w:cs="Arial"/>
          <w:szCs w:val="20"/>
          <w:lang w:eastAsia="en-US"/>
        </w:rPr>
      </w:pPr>
      <w:r>
        <w:rPr>
          <w:rFonts w:cs="Arial"/>
          <w:szCs w:val="20"/>
          <w:lang w:eastAsia="en-US"/>
        </w:rPr>
        <w:t>Na hipótese de a verificação a que se refere o parágrafo anterior não ser procedida tempestivamente, reputar-se-á como realizada, consumando-se o recebimento provisório no dia do esgotamento do prazo.</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No </w:t>
      </w:r>
      <w:r>
        <w:rPr>
          <w:rFonts w:cs="Arial"/>
          <w:iCs/>
          <w:szCs w:val="20"/>
        </w:rPr>
        <w:t>prazo</w:t>
      </w:r>
      <w:r>
        <w:rPr>
          <w:rFonts w:cs="Arial"/>
          <w:szCs w:val="20"/>
          <w:lang w:eastAsia="en-US"/>
        </w:rPr>
        <w:t xml:space="preserve"> de até 10 (dez) dias corridos</w:t>
      </w:r>
      <w:r>
        <w:rPr>
          <w:rFonts w:cs="Arial"/>
          <w:i/>
          <w:szCs w:val="20"/>
          <w:lang w:eastAsia="en-US"/>
        </w:rPr>
        <w:t xml:space="preserve"> </w:t>
      </w:r>
      <w:r>
        <w:rPr>
          <w:rFonts w:cs="Arial"/>
          <w:szCs w:val="20"/>
          <w:lang w:eastAsia="en-US"/>
        </w:rPr>
        <w:t xml:space="preserve">a partir do recebimento provisório dos serviços, o Gestor do Contrato deverá providenciar o recebimento definitivo, ato que concretiza o ateste da execução dos serviços, obedecendo as seguintes diretrizes: </w:t>
      </w:r>
    </w:p>
    <w:p>
      <w:pPr>
        <w:pStyle w:val="Normal"/>
        <w:numPr>
          <w:ilvl w:val="2"/>
          <w:numId w:val="1"/>
        </w:numPr>
        <w:spacing w:lineRule="auto" w:line="276" w:before="120" w:after="120"/>
        <w:jc w:val="both"/>
        <w:rPr>
          <w:rFonts w:cs="Arial"/>
          <w:szCs w:val="20"/>
          <w:lang w:eastAsia="en-US"/>
        </w:rPr>
      </w:pPr>
      <w:r>
        <w:rPr>
          <w:rFonts w:cs="Arial"/>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pPr>
        <w:pStyle w:val="Normal"/>
        <w:numPr>
          <w:ilvl w:val="2"/>
          <w:numId w:val="1"/>
        </w:numPr>
        <w:spacing w:lineRule="auto" w:line="276" w:before="120" w:after="120"/>
        <w:jc w:val="both"/>
        <w:rPr>
          <w:rFonts w:cs="Arial"/>
          <w:szCs w:val="20"/>
          <w:lang w:eastAsia="en-US"/>
        </w:rPr>
      </w:pPr>
      <w:r>
        <w:rPr>
          <w:rFonts w:cs="Arial"/>
          <w:szCs w:val="20"/>
          <w:lang w:eastAsia="en-US"/>
        </w:rPr>
        <w:t xml:space="preserve">Emitir Termo Circunstanciado para efeito de recebimento definitivo dos serviços prestados, com base nos relatórios e documentações apresentadas; e </w:t>
      </w:r>
    </w:p>
    <w:p>
      <w:pPr>
        <w:pStyle w:val="Normal"/>
        <w:numPr>
          <w:ilvl w:val="2"/>
          <w:numId w:val="1"/>
        </w:numPr>
        <w:spacing w:lineRule="auto" w:line="276" w:before="120" w:after="120"/>
        <w:jc w:val="both"/>
        <w:rPr>
          <w:rFonts w:cs="Arial"/>
          <w:szCs w:val="20"/>
        </w:rPr>
      </w:pPr>
      <w:r>
        <w:rPr>
          <w:rFonts w:cs="Arial"/>
          <w:szCs w:val="20"/>
          <w:lang w:eastAsia="en-US"/>
        </w:rPr>
        <w:t>Comunicar a empresa para que emita a Nota Fiscal ou Fatura, com o valor exato dimensionado pela fiscalização,</w:t>
      </w:r>
      <w:r>
        <w:rPr>
          <w:rFonts w:cs="Arial"/>
          <w:szCs w:val="20"/>
        </w:rPr>
        <w:t>com base no Instrumento de Medição de Resultado (IMR), ou instrumento substituto.</w:t>
      </w:r>
    </w:p>
    <w:p>
      <w:pPr>
        <w:pStyle w:val="Normal"/>
        <w:numPr>
          <w:ilvl w:val="1"/>
          <w:numId w:val="1"/>
        </w:numPr>
        <w:spacing w:lineRule="auto" w:line="276" w:before="120" w:after="120"/>
        <w:ind w:left="425" w:hanging="0"/>
        <w:jc w:val="both"/>
        <w:rPr>
          <w:rFonts w:cs="Arial"/>
          <w:szCs w:val="20"/>
        </w:rPr>
      </w:pPr>
      <w:r>
        <w:rPr>
          <w:rFonts w:cs="Arial"/>
          <w:szCs w:val="2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pPr>
        <w:pStyle w:val="Normal"/>
        <w:numPr>
          <w:ilvl w:val="1"/>
          <w:numId w:val="1"/>
        </w:numPr>
        <w:spacing w:lineRule="auto" w:line="276" w:before="120" w:after="120"/>
        <w:ind w:left="425" w:hanging="0"/>
        <w:jc w:val="both"/>
        <w:rPr>
          <w:rFonts w:cs="Arial"/>
          <w:szCs w:val="20"/>
        </w:rPr>
      </w:pPr>
      <w:r>
        <w:rPr>
          <w:rFonts w:cs="Arial"/>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pPr>
        <w:pStyle w:val="Nivel1"/>
        <w:numPr>
          <w:ilvl w:val="0"/>
          <w:numId w:val="1"/>
        </w:numPr>
        <w:rPr>
          <w:rFonts w:cs="Arial"/>
          <w:color w:val="auto"/>
        </w:rPr>
      </w:pPr>
      <w:r>
        <w:rPr>
          <w:rFonts w:cs="Arial"/>
          <w:color w:val="auto"/>
        </w:rPr>
        <w:t>DO PAGAMENTO</w:t>
      </w:r>
    </w:p>
    <w:p>
      <w:pPr>
        <w:pStyle w:val="Normal"/>
        <w:numPr>
          <w:ilvl w:val="1"/>
          <w:numId w:val="1"/>
        </w:numPr>
        <w:spacing w:lineRule="auto" w:line="276" w:before="120" w:after="120"/>
        <w:ind w:left="425" w:hanging="0"/>
        <w:jc w:val="both"/>
        <w:rPr>
          <w:rFonts w:eastAsia="Arial" w:cs="Arial"/>
          <w:szCs w:val="20"/>
        </w:rPr>
      </w:pPr>
      <w:r>
        <w:rPr>
          <w:rFonts w:cs="Arial"/>
          <w:szCs w:val="20"/>
        </w:rPr>
        <w:t>O pagamento será efetuado pela Contratante no prazo de 30 (trinta)</w:t>
      </w:r>
      <w:r>
        <w:rPr>
          <w:rFonts w:eastAsia="Arial" w:cs="Arial"/>
          <w:szCs w:val="20"/>
        </w:rPr>
        <w:t xml:space="preserve"> </w:t>
      </w:r>
      <w:r>
        <w:rPr>
          <w:rFonts w:cs="Arial"/>
          <w:szCs w:val="20"/>
        </w:rPr>
        <w:t xml:space="preserve">dias, contados do recebimento da Nota Fiscal/Fatura. </w:t>
      </w:r>
    </w:p>
    <w:p>
      <w:pPr>
        <w:pStyle w:val="Normal"/>
        <w:numPr>
          <w:ilvl w:val="2"/>
          <w:numId w:val="1"/>
        </w:numPr>
        <w:spacing w:lineRule="auto" w:line="276" w:before="120" w:after="120"/>
        <w:jc w:val="both"/>
        <w:rPr>
          <w:rFonts w:cs="Arial"/>
          <w:szCs w:val="20"/>
        </w:rPr>
      </w:pPr>
      <w:r>
        <w:rPr>
          <w:rFonts w:cs="Arial"/>
          <w:szCs w:val="20"/>
          <w:lang w:eastAsia="en-US"/>
        </w:rPr>
        <w:t xml:space="preserve">Os pagamentos decorrentes de despesas cujos valores não ultrapassem o limite </w:t>
      </w:r>
      <w:r>
        <w:rPr>
          <w:rFonts w:cs="Arial"/>
          <w:szCs w:val="20"/>
        </w:rPr>
        <w:t>de que trata o inciso II do art. 24</w:t>
      </w:r>
      <w:r>
        <w:rPr>
          <w:rFonts w:cs="Arial"/>
          <w:szCs w:val="20"/>
          <w:lang w:eastAsia="en-US"/>
        </w:rPr>
        <w:t xml:space="preserve"> da Lei 8.666, de 1993, deverão ser efetuados no prazo de até 5 (cinco) dias úteis, contados da data da apresentação da Nota Fiscal/Fatura, nos termos do art. 5º, § 3º, da Lei nº 8.666, de 1993.</w:t>
      </w:r>
    </w:p>
    <w:p>
      <w:pPr>
        <w:pStyle w:val="Normal"/>
        <w:numPr>
          <w:ilvl w:val="1"/>
          <w:numId w:val="1"/>
        </w:numPr>
        <w:spacing w:lineRule="auto" w:line="276" w:before="120" w:after="120"/>
        <w:ind w:left="425" w:hanging="0"/>
        <w:jc w:val="both"/>
        <w:rPr>
          <w:rFonts w:cs="Arial"/>
          <w:szCs w:val="20"/>
        </w:rPr>
      </w:pPr>
      <w:r>
        <w:rPr>
          <w:rFonts w:cs="Arial"/>
          <w:iCs/>
          <w:szCs w:val="20"/>
        </w:rPr>
        <w:t>A emissão da Nota Fiscal/Fatura será precedida do recebimento definitivo do serviço, conforme este Termo de Referência</w:t>
      </w:r>
    </w:p>
    <w:p>
      <w:pPr>
        <w:pStyle w:val="Normal"/>
        <w:numPr>
          <w:ilvl w:val="1"/>
          <w:numId w:val="1"/>
        </w:numPr>
        <w:spacing w:lineRule="auto" w:line="276" w:before="120" w:after="120"/>
        <w:ind w:left="425" w:hanging="0"/>
        <w:jc w:val="both"/>
        <w:rPr>
          <w:rFonts w:cs="Arial"/>
          <w:szCs w:val="20"/>
        </w:rPr>
      </w:pPr>
      <w:r>
        <w:rPr>
          <w:rFonts w:cs="Arial"/>
          <w:szCs w:val="20"/>
        </w:rPr>
        <w:t xml:space="preserve">A Nota Fiscal ou Fatura deverá ser obrigatoriamente acompanhada da comprovação da regularidade fiscal, constatada por meio de consulta on-line ao SICAF ou, na impossibilidade de acesso </w:t>
      </w:r>
      <w:r>
        <w:rPr>
          <w:rFonts w:cs="Arial"/>
          <w:szCs w:val="20"/>
          <w:lang w:eastAsia="en-US"/>
        </w:rPr>
        <w:t>ao</w:t>
      </w:r>
      <w:r>
        <w:rPr>
          <w:rFonts w:cs="Arial"/>
          <w:szCs w:val="20"/>
        </w:rPr>
        <w:t xml:space="preserve"> referido Sistema, mediante consulta aos sítios eletrônicos oficiais ou à documentação mencionada no art. 29 da Lei nº 8.666, de 1993. </w:t>
      </w:r>
    </w:p>
    <w:p>
      <w:pPr>
        <w:pStyle w:val="Normal"/>
        <w:numPr>
          <w:ilvl w:val="2"/>
          <w:numId w:val="1"/>
        </w:numPr>
        <w:spacing w:lineRule="auto" w:line="276" w:before="120" w:after="120"/>
        <w:jc w:val="both"/>
        <w:rPr>
          <w:rFonts w:cs="Arial"/>
          <w:szCs w:val="20"/>
        </w:rPr>
      </w:pPr>
      <w:r>
        <w:rPr>
          <w:rFonts w:cs="Arial"/>
          <w:szCs w:val="20"/>
        </w:rPr>
        <w:t xml:space="preserve">Constatando-se, junto ao SICAF, a situação de irregularidade do fornecedor contratado, deverão ser tomadas as providências previstas no do art. 31 da Instrução </w:t>
      </w:r>
      <w:r>
        <w:rPr>
          <w:rFonts w:cs="Arial"/>
          <w:szCs w:val="20"/>
          <w:lang w:eastAsia="en-US"/>
        </w:rPr>
        <w:t>Normativa</w:t>
      </w:r>
      <w:r>
        <w:rPr>
          <w:rFonts w:cs="Arial"/>
          <w:szCs w:val="20"/>
        </w:rPr>
        <w:t xml:space="preserve"> nº 3, de 26 de abril de 2018.</w:t>
      </w:r>
    </w:p>
    <w:p>
      <w:pPr>
        <w:pStyle w:val="Normal"/>
        <w:numPr>
          <w:ilvl w:val="1"/>
          <w:numId w:val="1"/>
        </w:numPr>
        <w:spacing w:lineRule="auto" w:line="276" w:before="120" w:after="120"/>
        <w:ind w:left="425" w:hanging="0"/>
        <w:jc w:val="both"/>
        <w:rPr>
          <w:rFonts w:cs="Arial"/>
          <w:szCs w:val="20"/>
        </w:rPr>
      </w:pPr>
      <w:r>
        <w:rPr>
          <w:rFonts w:cs="Arial"/>
          <w:szCs w:val="20"/>
        </w:rPr>
        <w:t xml:space="preserve">O setor competente para proceder o pagamento deve verificar se a Nota Fiscal ou Fatura apresentada expressa os elementos necessários e essenciais do documento, tais como: </w:t>
      </w:r>
    </w:p>
    <w:p>
      <w:pPr>
        <w:pStyle w:val="Normal"/>
        <w:numPr>
          <w:ilvl w:val="2"/>
          <w:numId w:val="1"/>
        </w:numPr>
        <w:spacing w:lineRule="auto" w:line="276" w:before="120" w:after="120"/>
        <w:jc w:val="both"/>
        <w:rPr>
          <w:rFonts w:cs="Arial"/>
          <w:szCs w:val="20"/>
        </w:rPr>
      </w:pPr>
      <w:r>
        <w:rPr>
          <w:rFonts w:cs="Arial"/>
          <w:szCs w:val="20"/>
        </w:rPr>
        <w:t xml:space="preserve">o prazo de validade; </w:t>
      </w:r>
    </w:p>
    <w:p>
      <w:pPr>
        <w:pStyle w:val="Normal"/>
        <w:numPr>
          <w:ilvl w:val="2"/>
          <w:numId w:val="1"/>
        </w:numPr>
        <w:spacing w:lineRule="auto" w:line="276" w:before="120" w:after="120"/>
        <w:jc w:val="both"/>
        <w:rPr>
          <w:rFonts w:cs="Arial"/>
          <w:szCs w:val="20"/>
        </w:rPr>
      </w:pPr>
      <w:r>
        <w:rPr>
          <w:rFonts w:cs="Arial"/>
          <w:szCs w:val="20"/>
        </w:rPr>
        <w:t xml:space="preserve">a data da emissão; </w:t>
      </w:r>
    </w:p>
    <w:p>
      <w:pPr>
        <w:pStyle w:val="Normal"/>
        <w:numPr>
          <w:ilvl w:val="2"/>
          <w:numId w:val="1"/>
        </w:numPr>
        <w:spacing w:lineRule="auto" w:line="276" w:before="120" w:after="120"/>
        <w:jc w:val="both"/>
        <w:rPr>
          <w:rFonts w:cs="Arial"/>
          <w:szCs w:val="20"/>
        </w:rPr>
      </w:pPr>
      <w:r>
        <w:rPr>
          <w:rFonts w:cs="Arial"/>
          <w:szCs w:val="20"/>
        </w:rPr>
        <w:t xml:space="preserve">os dados do contrato e do órgão contratante; </w:t>
      </w:r>
    </w:p>
    <w:p>
      <w:pPr>
        <w:pStyle w:val="Normal"/>
        <w:numPr>
          <w:ilvl w:val="2"/>
          <w:numId w:val="1"/>
        </w:numPr>
        <w:spacing w:lineRule="auto" w:line="276" w:before="120" w:after="120"/>
        <w:jc w:val="both"/>
        <w:rPr>
          <w:rFonts w:cs="Arial"/>
          <w:szCs w:val="20"/>
        </w:rPr>
      </w:pPr>
      <w:r>
        <w:rPr>
          <w:rFonts w:cs="Arial"/>
          <w:szCs w:val="20"/>
        </w:rPr>
        <w:t xml:space="preserve">o período de prestação dos serviços; </w:t>
      </w:r>
    </w:p>
    <w:p>
      <w:pPr>
        <w:pStyle w:val="Normal"/>
        <w:numPr>
          <w:ilvl w:val="2"/>
          <w:numId w:val="1"/>
        </w:numPr>
        <w:spacing w:lineRule="auto" w:line="276" w:before="120" w:after="120"/>
        <w:jc w:val="both"/>
        <w:rPr>
          <w:rFonts w:cs="Arial"/>
          <w:szCs w:val="20"/>
        </w:rPr>
      </w:pPr>
      <w:r>
        <w:rPr>
          <w:rFonts w:cs="Arial"/>
          <w:szCs w:val="20"/>
        </w:rPr>
        <w:t xml:space="preserve">o valor a pagar; e </w:t>
      </w:r>
    </w:p>
    <w:p>
      <w:pPr>
        <w:pStyle w:val="Normal"/>
        <w:numPr>
          <w:ilvl w:val="2"/>
          <w:numId w:val="1"/>
        </w:numPr>
        <w:spacing w:lineRule="auto" w:line="276" w:before="120" w:after="120"/>
        <w:jc w:val="both"/>
        <w:rPr>
          <w:rFonts w:cs="Arial"/>
          <w:szCs w:val="20"/>
        </w:rPr>
      </w:pPr>
      <w:r>
        <w:rPr>
          <w:rFonts w:cs="Arial"/>
          <w:szCs w:val="20"/>
        </w:rPr>
        <w:t>eventual destaque do valor de retenções tributárias cabíveis.</w:t>
      </w:r>
    </w:p>
    <w:p>
      <w:pPr>
        <w:pStyle w:val="Normal"/>
        <w:numPr>
          <w:ilvl w:val="1"/>
          <w:numId w:val="1"/>
        </w:numPr>
        <w:spacing w:lineRule="auto" w:line="276" w:before="120" w:after="120"/>
        <w:ind w:left="425" w:hanging="0"/>
        <w:jc w:val="both"/>
        <w:rPr>
          <w:rFonts w:cs="Arial"/>
          <w:szCs w:val="20"/>
          <w:lang w:eastAsia="en-US"/>
        </w:rPr>
      </w:pPr>
      <w:r>
        <w:rPr>
          <w:rFonts w:cs="Arial"/>
          <w:iCs/>
          <w:szCs w:val="20"/>
        </w:rPr>
        <w:t xml:space="preserve">Havendo erro </w:t>
      </w:r>
      <w:r>
        <w:rPr>
          <w:rFonts w:cs="Arial"/>
          <w:szCs w:val="20"/>
        </w:rPr>
        <w:t>na</w:t>
      </w:r>
      <w:r>
        <w:rPr>
          <w:rFonts w:cs="Arial"/>
          <w:iCs/>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ind w:left="425" w:hanging="0"/>
        <w:jc w:val="both"/>
        <w:rPr>
          <w:rFonts w:cs="Arial"/>
          <w:szCs w:val="20"/>
          <w:lang w:eastAsia="en-US"/>
        </w:rPr>
      </w:pPr>
      <w:r>
        <w:rPr>
          <w:rFonts w:cs="Arial"/>
          <w:szCs w:val="20"/>
        </w:rPr>
        <w:t>Nos termos do item 1, do Anexo VIII-A da Instrução Normativa SEGES/MP nº 05, de 2017, será efetuada</w:t>
      </w:r>
      <w:r>
        <w:rPr>
          <w:rFonts w:cs="Arial"/>
          <w:szCs w:val="20"/>
          <w:lang w:eastAsia="en-US"/>
        </w:rPr>
        <w:t xml:space="preserve"> a retenção ou glosa no pagamento, proporcional à irregularidade verificada, sem prejuízo das sanções cabíveis, caso se constate que a Contratada:</w:t>
      </w:r>
    </w:p>
    <w:p>
      <w:pPr>
        <w:pStyle w:val="Normal"/>
        <w:numPr>
          <w:ilvl w:val="2"/>
          <w:numId w:val="1"/>
        </w:numPr>
        <w:spacing w:lineRule="auto" w:line="276" w:before="120" w:after="120"/>
        <w:jc w:val="both"/>
        <w:rPr>
          <w:rFonts w:cs="Arial"/>
          <w:szCs w:val="20"/>
        </w:rPr>
      </w:pPr>
      <w:r>
        <w:rPr>
          <w:rFonts w:cs="Arial"/>
          <w:szCs w:val="20"/>
        </w:rPr>
        <w:t>não produziu os resultados acordados;</w:t>
      </w:r>
    </w:p>
    <w:p>
      <w:pPr>
        <w:pStyle w:val="Normal"/>
        <w:numPr>
          <w:ilvl w:val="2"/>
          <w:numId w:val="1"/>
        </w:numPr>
        <w:spacing w:lineRule="auto" w:line="276" w:before="120" w:after="120"/>
        <w:jc w:val="both"/>
        <w:rPr>
          <w:rFonts w:cs="Arial"/>
          <w:szCs w:val="20"/>
        </w:rPr>
      </w:pPr>
      <w:r>
        <w:rPr>
          <w:rFonts w:cs="Arial"/>
          <w:szCs w:val="20"/>
        </w:rPr>
        <w:t>deixou de executar as atividades contratadas, ou não as executou com a qualidade mínima exigida;</w:t>
      </w:r>
    </w:p>
    <w:p>
      <w:pPr>
        <w:pStyle w:val="Normal"/>
        <w:numPr>
          <w:ilvl w:val="2"/>
          <w:numId w:val="1"/>
        </w:numPr>
        <w:spacing w:lineRule="auto" w:line="276" w:before="120" w:after="120"/>
        <w:jc w:val="both"/>
        <w:rPr>
          <w:rFonts w:cs="Arial"/>
          <w:szCs w:val="20"/>
        </w:rPr>
      </w:pPr>
      <w:r>
        <w:rPr>
          <w:rFonts w:cs="Arial"/>
          <w:szCs w:val="20"/>
        </w:rPr>
        <w:t>deixou de utilizar os materiais e recursos humanos exigidos para a execução do serviço, ou utilizou-os com qualidade ou quantidade inferior à demandada.</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Será considerada data do pagamento o dia em que constar como emitida a ordem bancária para pagamento.</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Antes de cada pagamento à contratada, será realizada consulta ao SICAF para verificar a manutenção das condições de habilitação exigidas no edital. </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pPr>
        <w:pStyle w:val="Normal"/>
        <w:numPr>
          <w:ilvl w:val="2"/>
          <w:numId w:val="1"/>
        </w:numPr>
        <w:spacing w:lineRule="auto" w:line="276" w:before="120" w:after="120"/>
        <w:jc w:val="both"/>
        <w:rPr>
          <w:rFonts w:cs="Arial"/>
          <w:szCs w:val="20"/>
          <w:lang w:eastAsia="en-US"/>
        </w:rPr>
      </w:pPr>
      <w:r>
        <w:rPr>
          <w:rFonts w:cs="Arial"/>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pPr>
        <w:pStyle w:val="Normal"/>
        <w:numPr>
          <w:ilvl w:val="1"/>
          <w:numId w:val="1"/>
        </w:numPr>
        <w:spacing w:lineRule="auto" w:line="276" w:before="120" w:after="120"/>
        <w:ind w:left="425" w:hanging="0"/>
        <w:jc w:val="both"/>
        <w:rPr/>
      </w:pPr>
      <w:r>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pPr>
        <w:pStyle w:val="Normal"/>
        <w:numPr>
          <w:ilvl w:val="1"/>
          <w:numId w:val="1"/>
        </w:numPr>
        <w:spacing w:lineRule="auto" w:line="276" w:before="120" w:after="120"/>
        <w:ind w:left="425" w:hanging="0"/>
        <w:jc w:val="both"/>
        <w:rPr>
          <w:rFonts w:cs="Arial"/>
          <w:szCs w:val="20"/>
          <w:lang w:eastAsia="en-US"/>
        </w:rPr>
      </w:pPr>
      <w:r>
        <w:rPr>
          <w:rFonts w:cs="Arial"/>
          <w:szCs w:val="20"/>
          <w:lang w:eastAsia="en-US"/>
        </w:rPr>
        <w:t xml:space="preserve">  </w:t>
      </w:r>
      <w:r>
        <w:rPr>
          <w:rFonts w:cs="Arial"/>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spacing w:lineRule="auto" w:line="276"/>
        <w:ind w:left="426" w:firstLine="708"/>
        <w:jc w:val="both"/>
        <w:rPr>
          <w:rFonts w:cs="Arial"/>
          <w:szCs w:val="20"/>
        </w:rPr>
      </w:pPr>
      <w:r>
        <w:rPr>
          <w:rFonts w:cs="Arial"/>
          <w:szCs w:val="20"/>
        </w:rPr>
        <w:t>EM = I x N x VP, sendo:</w:t>
      </w:r>
    </w:p>
    <w:p>
      <w:pPr>
        <w:pStyle w:val="Normal"/>
        <w:tabs>
          <w:tab w:val="left" w:pos="1701" w:leader="none"/>
        </w:tabs>
        <w:spacing w:lineRule="auto" w:line="276"/>
        <w:ind w:firstLine="1134"/>
        <w:jc w:val="both"/>
        <w:rPr>
          <w:rFonts w:cs="Arial"/>
          <w:szCs w:val="20"/>
        </w:rPr>
      </w:pPr>
      <w:r>
        <w:rPr>
          <w:rFonts w:cs="Arial"/>
          <w:szCs w:val="20"/>
        </w:rPr>
        <w:t>EM = Encargos moratórios;</w:t>
      </w:r>
    </w:p>
    <w:p>
      <w:pPr>
        <w:pStyle w:val="Normal"/>
        <w:tabs>
          <w:tab w:val="left" w:pos="1701" w:leader="none"/>
        </w:tabs>
        <w:spacing w:lineRule="auto" w:line="276"/>
        <w:ind w:firstLine="1134"/>
        <w:jc w:val="both"/>
        <w:rPr>
          <w:rFonts w:cs="Arial"/>
          <w:szCs w:val="20"/>
        </w:rPr>
      </w:pPr>
      <w:r>
        <w:rPr>
          <w:rFonts w:cs="Arial"/>
          <w:szCs w:val="20"/>
        </w:rPr>
        <w:t>N = Número de dias entre a data prevista para o pagamento e a do efetivo pagamento;</w:t>
      </w:r>
    </w:p>
    <w:p>
      <w:pPr>
        <w:pStyle w:val="Normal"/>
        <w:tabs>
          <w:tab w:val="left" w:pos="1701" w:leader="none"/>
        </w:tabs>
        <w:spacing w:lineRule="auto" w:line="276"/>
        <w:ind w:firstLine="1134"/>
        <w:jc w:val="both"/>
        <w:rPr>
          <w:rFonts w:cs="Arial"/>
          <w:szCs w:val="20"/>
        </w:rPr>
      </w:pPr>
      <w:r>
        <w:rPr>
          <w:rFonts w:cs="Arial"/>
          <w:szCs w:val="20"/>
        </w:rPr>
        <w:t>VP = Valor da parcela a ser paga.</w:t>
      </w:r>
    </w:p>
    <w:p>
      <w:pPr>
        <w:pStyle w:val="Normal"/>
        <w:tabs>
          <w:tab w:val="left" w:pos="1701" w:leader="none"/>
        </w:tabs>
        <w:spacing w:lineRule="auto" w:line="276"/>
        <w:ind w:firstLine="1134"/>
        <w:jc w:val="both"/>
        <w:rPr>
          <w:rFonts w:cs="Arial"/>
          <w:szCs w:val="20"/>
        </w:rPr>
      </w:pPr>
      <w:r>
        <w:rPr>
          <w:rFonts w:cs="Arial"/>
          <w:szCs w:val="20"/>
        </w:rPr>
        <w:t>I = Índice de compensação financeira = 0,00016438, assim apurado:</w:t>
      </w:r>
    </w:p>
    <w:tbl>
      <w:tblPr>
        <w:tblStyle w:val="Tabelacomgrade"/>
        <w:tblW w:w="8862" w:type="dxa"/>
        <w:jc w:val="left"/>
        <w:tblInd w:w="425" w:type="dxa"/>
        <w:tblCellMar>
          <w:top w:w="0" w:type="dxa"/>
          <w:left w:w="118" w:type="dxa"/>
          <w:bottom w:w="0" w:type="dxa"/>
          <w:right w:w="108" w:type="dxa"/>
        </w:tblCellMar>
        <w:tblLook w:noVBand="1" w:val="04a0" w:noHBand="0" w:lastColumn="0" w:firstColumn="1" w:lastRow="0" w:firstRow="1"/>
      </w:tblPr>
      <w:tblGrid>
        <w:gridCol w:w="2211"/>
        <w:gridCol w:w="447"/>
        <w:gridCol w:w="1276"/>
        <w:gridCol w:w="4927"/>
      </w:tblGrid>
      <w:tr>
        <w:trPr/>
        <w:tc>
          <w:tcPr>
            <w:tcW w:w="2211" w:type="dxa"/>
            <w:vMerge w:val="restart"/>
            <w:tcBorders>
              <w:top w:val="nil"/>
              <w:left w:val="nil"/>
              <w:bottom w:val="nil"/>
              <w:right w:val="nil"/>
              <w:insideH w:val="nil"/>
              <w:insideV w:val="nil"/>
            </w:tcBorders>
            <w:shd w:fill="auto" w:val="clear"/>
            <w:vAlign w:val="center"/>
          </w:tcPr>
          <w:p>
            <w:pPr>
              <w:pStyle w:val="Normal"/>
              <w:tabs>
                <w:tab w:val="left" w:pos="1701" w:leader="none"/>
              </w:tabs>
              <w:spacing w:lineRule="auto" w:line="276"/>
              <w:jc w:val="both"/>
              <w:rPr>
                <w:rFonts w:cs="Arial"/>
                <w:szCs w:val="20"/>
              </w:rPr>
            </w:pPr>
            <w:r>
              <w:rPr>
                <w:rFonts w:eastAsia="ＭＳ 明朝" w:cs="Arial" w:eastAsiaTheme="minorEastAsia"/>
                <w:szCs w:val="20"/>
                <w:lang w:eastAsia="en-US"/>
              </w:rPr>
              <w:t>I = (TX)</w:t>
            </w:r>
          </w:p>
        </w:tc>
        <w:tc>
          <w:tcPr>
            <w:tcW w:w="447" w:type="dxa"/>
            <w:vMerge w:val="restart"/>
            <w:tcBorders>
              <w:top w:val="nil"/>
              <w:left w:val="nil"/>
              <w:bottom w:val="nil"/>
              <w:right w:val="nil"/>
              <w:insideH w:val="nil"/>
              <w:insideV w:val="nil"/>
            </w:tcBorders>
            <w:shd w:fill="auto" w:val="clear"/>
            <w:vAlign w:val="center"/>
          </w:tcPr>
          <w:p>
            <w:pPr>
              <w:pStyle w:val="Normal"/>
              <w:tabs>
                <w:tab w:val="left" w:pos="1701" w:leader="none"/>
              </w:tabs>
              <w:spacing w:lineRule="auto" w:line="276"/>
              <w:jc w:val="both"/>
              <w:rPr>
                <w:rFonts w:cs="Arial"/>
                <w:szCs w:val="20"/>
              </w:rPr>
            </w:pPr>
            <w:r>
              <w:rPr>
                <w:rFonts w:eastAsia="ＭＳ 明朝" w:cs="Arial" w:eastAsiaTheme="minorEastAsia"/>
                <w:szCs w:val="20"/>
                <w:lang w:eastAsia="en-US"/>
              </w:rPr>
              <w:t xml:space="preserve">I = </w:t>
            </w:r>
          </w:p>
        </w:tc>
        <w:tc>
          <w:tcPr>
            <w:tcW w:w="1276" w:type="dxa"/>
            <w:tcBorders>
              <w:top w:val="nil"/>
              <w:left w:val="nil"/>
              <w:right w:val="nil"/>
              <w:insideV w:val="nil"/>
            </w:tcBorders>
            <w:shd w:fill="auto" w:val="clear"/>
          </w:tcPr>
          <w:p>
            <w:pPr>
              <w:pStyle w:val="Normal"/>
              <w:tabs>
                <w:tab w:val="left" w:pos="1701" w:leader="none"/>
              </w:tabs>
              <w:spacing w:lineRule="auto" w:line="276"/>
              <w:jc w:val="both"/>
              <w:rPr>
                <w:rFonts w:cs="Arial"/>
                <w:szCs w:val="20"/>
              </w:rPr>
            </w:pPr>
            <w:r>
              <w:rPr>
                <w:rFonts w:eastAsia="ＭＳ 明朝" w:cs="Arial" w:eastAsiaTheme="minorEastAsia"/>
                <w:szCs w:val="20"/>
                <w:lang w:eastAsia="en-US"/>
              </w:rPr>
              <w:t>( 6 / 100 )</w:t>
            </w:r>
          </w:p>
        </w:tc>
        <w:tc>
          <w:tcPr>
            <w:tcW w:w="4927" w:type="dxa"/>
            <w:vMerge w:val="restart"/>
            <w:tcBorders>
              <w:top w:val="nil"/>
              <w:left w:val="nil"/>
              <w:bottom w:val="nil"/>
              <w:right w:val="nil"/>
              <w:insideH w:val="nil"/>
              <w:insideV w:val="nil"/>
            </w:tcBorders>
            <w:shd w:fill="auto" w:val="clear"/>
            <w:vAlign w:val="center"/>
          </w:tcPr>
          <w:p>
            <w:pPr>
              <w:pStyle w:val="Normal"/>
              <w:tabs>
                <w:tab w:val="left" w:pos="1701" w:leader="none"/>
              </w:tabs>
              <w:spacing w:lineRule="auto" w:line="276"/>
              <w:ind w:left="742" w:hanging="0"/>
              <w:jc w:val="both"/>
              <w:rPr>
                <w:rFonts w:cs="Arial"/>
                <w:szCs w:val="20"/>
              </w:rPr>
            </w:pPr>
            <w:r>
              <w:rPr>
                <w:rFonts w:eastAsia="ＭＳ 明朝" w:cs="Arial" w:eastAsiaTheme="minorEastAsia"/>
                <w:szCs w:val="20"/>
                <w:lang w:eastAsia="en-US"/>
              </w:rPr>
              <w:t>I = 0,00016438</w:t>
            </w:r>
          </w:p>
          <w:p>
            <w:pPr>
              <w:pStyle w:val="Normal"/>
              <w:tabs>
                <w:tab w:val="left" w:pos="1701" w:leader="none"/>
              </w:tabs>
              <w:spacing w:lineRule="auto" w:line="276"/>
              <w:ind w:left="742" w:hanging="0"/>
              <w:jc w:val="both"/>
              <w:rPr>
                <w:rFonts w:cs="Arial"/>
                <w:szCs w:val="20"/>
              </w:rPr>
            </w:pPr>
            <w:r>
              <w:rPr>
                <w:rFonts w:eastAsia="ＭＳ 明朝" w:cs="Arial" w:eastAsiaTheme="minorEastAsia"/>
                <w:szCs w:val="20"/>
                <w:lang w:eastAsia="en-US"/>
              </w:rPr>
              <w:t>TX = Percentual da taxa anual = 6%</w:t>
            </w:r>
          </w:p>
          <w:p>
            <w:pPr>
              <w:pStyle w:val="Normal"/>
              <w:tabs>
                <w:tab w:val="left" w:pos="1701" w:leader="none"/>
              </w:tabs>
              <w:spacing w:lineRule="auto" w:line="276"/>
              <w:ind w:left="742" w:hanging="0"/>
              <w:jc w:val="both"/>
              <w:rPr>
                <w:rFonts w:eastAsia="ＭＳ 明朝" w:cs="Arial" w:eastAsiaTheme="minorEastAsia"/>
                <w:szCs w:val="20"/>
                <w:lang w:eastAsia="en-US"/>
              </w:rPr>
            </w:pPr>
            <w:r>
              <w:rPr>
                <w:rFonts w:eastAsia="ＭＳ 明朝" w:cs="Arial" w:eastAsiaTheme="minorEastAsia"/>
                <w:szCs w:val="20"/>
                <w:lang w:eastAsia="en-US"/>
              </w:rPr>
            </w:r>
          </w:p>
        </w:tc>
      </w:tr>
      <w:tr>
        <w:trPr/>
        <w:tc>
          <w:tcPr>
            <w:tcW w:w="2211" w:type="dxa"/>
            <w:vMerge w:val="continue"/>
            <w:tcBorders>
              <w:top w:val="nil"/>
              <w:left w:val="nil"/>
              <w:bottom w:val="nil"/>
              <w:right w:val="nil"/>
              <w:insideH w:val="nil"/>
              <w:insideV w:val="nil"/>
            </w:tcBorders>
            <w:shd w:fill="auto" w:val="clear"/>
            <w:vAlign w:val="center"/>
          </w:tcPr>
          <w:p>
            <w:pPr>
              <w:pStyle w:val="Normal"/>
              <w:rPr>
                <w:rFonts w:eastAsia="ＭＳ 明朝" w:cs="Arial" w:eastAsiaTheme="minorEastAsia"/>
                <w:szCs w:val="20"/>
                <w:lang w:eastAsia="en-US"/>
              </w:rPr>
            </w:pPr>
            <w:r>
              <w:rPr>
                <w:rFonts w:eastAsia="ＭＳ 明朝" w:cs="Arial" w:eastAsiaTheme="minorEastAsia"/>
                <w:szCs w:val="20"/>
                <w:lang w:eastAsia="en-US"/>
              </w:rPr>
            </w:r>
          </w:p>
        </w:tc>
        <w:tc>
          <w:tcPr>
            <w:tcW w:w="447" w:type="dxa"/>
            <w:vMerge w:val="continue"/>
            <w:tcBorders>
              <w:top w:val="nil"/>
              <w:left w:val="nil"/>
              <w:bottom w:val="nil"/>
              <w:right w:val="nil"/>
              <w:insideH w:val="nil"/>
              <w:insideV w:val="nil"/>
            </w:tcBorders>
            <w:shd w:fill="auto" w:val="clear"/>
            <w:vAlign w:val="center"/>
          </w:tcPr>
          <w:p>
            <w:pPr>
              <w:pStyle w:val="Normal"/>
              <w:rPr>
                <w:rFonts w:eastAsia="ＭＳ 明朝" w:cs="Arial" w:eastAsiaTheme="minorEastAsia"/>
                <w:szCs w:val="20"/>
                <w:lang w:eastAsia="en-US"/>
              </w:rPr>
            </w:pPr>
            <w:r>
              <w:rPr>
                <w:rFonts w:eastAsia="ＭＳ 明朝" w:cs="Arial" w:eastAsiaTheme="minorEastAsia"/>
                <w:szCs w:val="20"/>
                <w:lang w:eastAsia="en-US"/>
              </w:rPr>
            </w:r>
          </w:p>
        </w:tc>
        <w:tc>
          <w:tcPr>
            <w:tcW w:w="1276" w:type="dxa"/>
            <w:tcBorders>
              <w:top w:val="nil"/>
              <w:left w:val="nil"/>
              <w:bottom w:val="nil"/>
              <w:right w:val="nil"/>
              <w:insideH w:val="nil"/>
              <w:insideV w:val="nil"/>
            </w:tcBorders>
            <w:shd w:fill="auto" w:val="clear"/>
          </w:tcPr>
          <w:p>
            <w:pPr>
              <w:pStyle w:val="Normal"/>
              <w:tabs>
                <w:tab w:val="left" w:pos="1701" w:leader="none"/>
              </w:tabs>
              <w:spacing w:lineRule="auto" w:line="276"/>
              <w:jc w:val="both"/>
              <w:rPr>
                <w:rFonts w:cs="Arial"/>
                <w:szCs w:val="20"/>
              </w:rPr>
            </w:pPr>
            <w:r>
              <w:rPr>
                <w:rFonts w:eastAsia="ＭＳ 明朝" w:cs="Arial" w:eastAsiaTheme="minorEastAsia"/>
                <w:szCs w:val="20"/>
                <w:lang w:eastAsia="en-US"/>
              </w:rPr>
              <w:t>365</w:t>
            </w:r>
          </w:p>
        </w:tc>
        <w:tc>
          <w:tcPr>
            <w:tcW w:w="4927" w:type="dxa"/>
            <w:vMerge w:val="continue"/>
            <w:tcBorders>
              <w:top w:val="nil"/>
              <w:left w:val="nil"/>
              <w:bottom w:val="nil"/>
              <w:right w:val="nil"/>
              <w:insideH w:val="nil"/>
              <w:insideV w:val="nil"/>
            </w:tcBorders>
            <w:shd w:fill="auto" w:val="clear"/>
            <w:vAlign w:val="center"/>
          </w:tcPr>
          <w:p>
            <w:pPr>
              <w:pStyle w:val="Normal"/>
              <w:rPr>
                <w:rFonts w:eastAsia="ＭＳ 明朝" w:cs="Arial" w:eastAsiaTheme="minorEastAsia"/>
                <w:szCs w:val="20"/>
                <w:lang w:eastAsia="en-US"/>
              </w:rPr>
            </w:pPr>
            <w:r>
              <w:rPr>
                <w:rFonts w:eastAsia="ＭＳ 明朝" w:cs="Arial" w:eastAsiaTheme="minorEastAsia"/>
                <w:szCs w:val="20"/>
                <w:lang w:eastAsia="en-US"/>
              </w:rPr>
            </w:r>
          </w:p>
        </w:tc>
      </w:tr>
    </w:tbl>
    <w:p>
      <w:pPr>
        <w:pStyle w:val="Nivel1"/>
        <w:numPr>
          <w:ilvl w:val="0"/>
          <w:numId w:val="1"/>
        </w:numPr>
        <w:rPr>
          <w:rFonts w:cs="Arial"/>
          <w:color w:val="auto"/>
        </w:rPr>
      </w:pPr>
      <w:r>
        <w:rPr>
          <w:rFonts w:cs="Arial"/>
          <w:color w:val="auto"/>
        </w:rPr>
        <w:t>REAJUSTE</w:t>
      </w:r>
    </w:p>
    <w:p>
      <w:pPr>
        <w:pStyle w:val="ListParagraph"/>
        <w:numPr>
          <w:ilvl w:val="0"/>
          <w:numId w:val="2"/>
        </w:numPr>
        <w:spacing w:lineRule="auto" w:line="276" w:before="120" w:after="120"/>
        <w:contextualSpacing/>
        <w:jc w:val="both"/>
        <w:rPr>
          <w:rFonts w:cs="Arial"/>
          <w:vanish/>
          <w:szCs w:val="20"/>
        </w:rPr>
      </w:pPr>
      <w:r>
        <w:rPr>
          <w:rFonts w:cs="Arial"/>
          <w:vanish/>
          <w:szCs w:val="20"/>
        </w:rPr>
      </w:r>
    </w:p>
    <w:p>
      <w:pPr>
        <w:pStyle w:val="ListParagraph"/>
        <w:numPr>
          <w:ilvl w:val="0"/>
          <w:numId w:val="2"/>
        </w:numPr>
        <w:spacing w:lineRule="auto" w:line="276" w:before="120" w:after="120"/>
        <w:contextualSpacing/>
        <w:jc w:val="both"/>
        <w:rPr>
          <w:rFonts w:cs="Arial"/>
          <w:vanish/>
          <w:szCs w:val="20"/>
        </w:rPr>
      </w:pPr>
      <w:r>
        <w:rPr>
          <w:rFonts w:cs="Arial"/>
          <w:vanish/>
          <w:szCs w:val="20"/>
        </w:rPr>
      </w:r>
    </w:p>
    <w:p>
      <w:pPr>
        <w:pStyle w:val="ListParagraph"/>
        <w:spacing w:lineRule="auto" w:line="276" w:before="120" w:after="120"/>
        <w:ind w:left="792" w:hanging="0"/>
        <w:contextualSpacing/>
        <w:jc w:val="both"/>
        <w:rPr>
          <w:rFonts w:cs="Arial"/>
          <w:szCs w:val="20"/>
        </w:rPr>
      </w:pPr>
      <w:r>
        <w:rPr>
          <w:rFonts w:cs="Arial"/>
          <w:szCs w:val="20"/>
        </w:rPr>
      </w:r>
    </w:p>
    <w:p>
      <w:pPr>
        <w:pStyle w:val="ListParagraph"/>
        <w:numPr>
          <w:ilvl w:val="1"/>
          <w:numId w:val="2"/>
        </w:numPr>
        <w:spacing w:lineRule="auto" w:line="276" w:before="120" w:after="120"/>
        <w:contextualSpacing/>
        <w:jc w:val="both"/>
        <w:rPr>
          <w:rFonts w:cs="Arial"/>
          <w:szCs w:val="20"/>
        </w:rPr>
      </w:pPr>
      <w:r>
        <w:rPr>
          <w:rFonts w:cs="Arial"/>
          <w:szCs w:val="20"/>
        </w:rPr>
        <w:t>Os preços são fixos e irreajustáveis no prazo de um ano contado da data limite para a apresentação das propostas.</w:t>
      </w:r>
    </w:p>
    <w:p>
      <w:pPr>
        <w:pStyle w:val="ListParagraph"/>
        <w:spacing w:lineRule="auto" w:line="276" w:before="120" w:after="120"/>
        <w:ind w:left="792" w:hanging="0"/>
        <w:contextualSpacing/>
        <w:jc w:val="both"/>
        <w:rPr>
          <w:rFonts w:cs="Arial"/>
          <w:szCs w:val="20"/>
        </w:rPr>
      </w:pPr>
      <w:r>
        <w:rPr>
          <w:rFonts w:cs="Arial"/>
          <w:szCs w:val="20"/>
        </w:rPr>
      </w:r>
    </w:p>
    <w:p>
      <w:pPr>
        <w:pStyle w:val="ListParagraph"/>
        <w:numPr>
          <w:ilvl w:val="2"/>
          <w:numId w:val="2"/>
        </w:numPr>
        <w:spacing w:lineRule="auto" w:line="276" w:before="120" w:after="120"/>
        <w:contextualSpacing/>
        <w:jc w:val="both"/>
        <w:rPr/>
      </w:pPr>
      <w:r>
        <w:rPr>
          <w:rFonts w:cs="Arial"/>
          <w:bCs/>
          <w:iCs/>
          <w:szCs w:val="20"/>
        </w:rPr>
        <w:t>Dentro do prazo de vigência do contrato e mediante solicitação da contratada, os preços contratados poderão sofrer reajuste após o interregno de um ano, aplicando-se o índice IGP-M</w:t>
      </w:r>
      <w:r>
        <w:rPr>
          <w:rFonts w:cs="Arial"/>
          <w:bCs/>
          <w:i/>
          <w:iCs/>
          <w:szCs w:val="20"/>
        </w:rPr>
        <w:t xml:space="preserve"> </w:t>
      </w:r>
      <w:r>
        <w:rPr>
          <w:rFonts w:cs="Arial"/>
          <w:bCs/>
          <w:iCs/>
          <w:szCs w:val="20"/>
        </w:rPr>
        <w:t>exclusivamente para as obrigações iniciadas e concluídas após a ocorrência da anualidade.</w:t>
      </w:r>
    </w:p>
    <w:p>
      <w:pPr>
        <w:pStyle w:val="ListParagraph"/>
        <w:numPr>
          <w:ilvl w:val="1"/>
          <w:numId w:val="2"/>
        </w:numPr>
        <w:spacing w:lineRule="auto" w:line="276" w:before="120" w:after="120"/>
        <w:contextualSpacing/>
        <w:jc w:val="both"/>
        <w:rPr>
          <w:rFonts w:cs="Arial"/>
          <w:szCs w:val="20"/>
        </w:rPr>
      </w:pPr>
      <w:r>
        <w:rPr>
          <w:rFonts w:cs="Arial"/>
          <w:szCs w:val="20"/>
        </w:rPr>
        <w:t>Nos reajustes subsequentes ao primeiro, o interregno mínimo de um ano será contado a partir dos efeitos financeiros do último reajuste.</w:t>
      </w:r>
    </w:p>
    <w:p>
      <w:pPr>
        <w:pStyle w:val="ListParagraph"/>
        <w:numPr>
          <w:ilvl w:val="1"/>
          <w:numId w:val="2"/>
        </w:numPr>
        <w:spacing w:lineRule="auto" w:line="276" w:before="120" w:after="120"/>
        <w:contextualSpacing/>
        <w:jc w:val="both"/>
        <w:rPr>
          <w:rFonts w:cs="Arial"/>
          <w:szCs w:val="20"/>
        </w:rPr>
      </w:pPr>
      <w:r>
        <w:rPr>
          <w:rFonts w:cs="Arial"/>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pPr>
        <w:pStyle w:val="ListParagraph"/>
        <w:numPr>
          <w:ilvl w:val="1"/>
          <w:numId w:val="2"/>
        </w:numPr>
        <w:spacing w:lineRule="auto" w:line="276" w:before="120" w:after="120"/>
        <w:contextualSpacing/>
        <w:jc w:val="both"/>
        <w:rPr>
          <w:rFonts w:cs="Arial"/>
          <w:szCs w:val="20"/>
        </w:rPr>
      </w:pPr>
      <w:r>
        <w:rPr>
          <w:rFonts w:cs="Arial"/>
          <w:szCs w:val="20"/>
        </w:rPr>
        <w:t>Nas aferições finais, o índice utilizado para reajuste será, obrigatoriamente, o definitivo.</w:t>
      </w:r>
    </w:p>
    <w:p>
      <w:pPr>
        <w:pStyle w:val="ListParagraph"/>
        <w:numPr>
          <w:ilvl w:val="1"/>
          <w:numId w:val="2"/>
        </w:numPr>
        <w:spacing w:lineRule="auto" w:line="276" w:before="120" w:after="120"/>
        <w:contextualSpacing/>
        <w:jc w:val="both"/>
        <w:rPr>
          <w:rFonts w:cs="Arial"/>
          <w:szCs w:val="20"/>
        </w:rPr>
      </w:pPr>
      <w:r>
        <w:rPr>
          <w:rFonts w:cs="Arial"/>
          <w:szCs w:val="20"/>
        </w:rPr>
        <w:t>Caso o índice estabelecido para reajustamento venha a ser extinto ou de qualquer forma não possa mais ser utilizado, será adotado, em substituição, o que vier a ser determinado pela legislação então em vigor.</w:t>
      </w:r>
    </w:p>
    <w:p>
      <w:pPr>
        <w:pStyle w:val="ListParagraph"/>
        <w:numPr>
          <w:ilvl w:val="1"/>
          <w:numId w:val="2"/>
        </w:numPr>
        <w:spacing w:lineRule="auto" w:line="276" w:before="120" w:after="120"/>
        <w:contextualSpacing/>
        <w:jc w:val="both"/>
        <w:rPr>
          <w:rFonts w:cs="Arial"/>
          <w:szCs w:val="20"/>
        </w:rPr>
      </w:pPr>
      <w:r>
        <w:rPr>
          <w:rFonts w:cs="Arial"/>
          <w:szCs w:val="20"/>
        </w:rPr>
        <w:t xml:space="preserve">Na ausência de previsão legal quanto ao índice substituto, as partes elegerão novo índice oficial, para reajustamento do preço do valor remanescente, por meio de termo aditivo. </w:t>
      </w:r>
    </w:p>
    <w:p>
      <w:pPr>
        <w:pStyle w:val="ListParagraph"/>
        <w:numPr>
          <w:ilvl w:val="1"/>
          <w:numId w:val="2"/>
        </w:numPr>
        <w:spacing w:lineRule="auto" w:line="276" w:before="120" w:after="120"/>
        <w:contextualSpacing/>
        <w:jc w:val="both"/>
        <w:rPr>
          <w:rFonts w:cs="Arial"/>
          <w:szCs w:val="20"/>
        </w:rPr>
      </w:pPr>
      <w:r>
        <w:rPr>
          <w:rFonts w:cs="Arial"/>
          <w:szCs w:val="20"/>
        </w:rPr>
        <w:t>O reajuste será realizado por apostilamento.</w:t>
      </w:r>
    </w:p>
    <w:p>
      <w:pPr>
        <w:pStyle w:val="Nivel1"/>
        <w:numPr>
          <w:ilvl w:val="0"/>
          <w:numId w:val="2"/>
        </w:numPr>
        <w:rPr>
          <w:rFonts w:cs="Arial"/>
          <w:color w:val="auto"/>
        </w:rPr>
      </w:pPr>
      <w:r>
        <w:rPr>
          <w:rFonts w:cs="Arial"/>
          <w:color w:val="auto"/>
        </w:rPr>
        <w:t>GARANTIA DA EXECUÇÃO</w:t>
      </w:r>
    </w:p>
    <w:p>
      <w:pPr>
        <w:pStyle w:val="Normal"/>
        <w:spacing w:lineRule="auto" w:line="276"/>
        <w:rPr>
          <w:rFonts w:cs="Arial"/>
          <w:szCs w:val="20"/>
        </w:rPr>
      </w:pPr>
      <w:r>
        <w:rPr>
          <w:rFonts w:cs="Arial"/>
          <w:szCs w:val="20"/>
        </w:rPr>
      </w:r>
    </w:p>
    <w:p>
      <w:pPr>
        <w:pStyle w:val="Nivel1"/>
        <w:numPr>
          <w:ilvl w:val="1"/>
          <w:numId w:val="2"/>
        </w:numPr>
        <w:spacing w:before="120" w:after="120"/>
        <w:ind w:left="425" w:hanging="432"/>
        <w:rPr>
          <w:rFonts w:eastAsia="Calibri" w:cs="Arial"/>
          <w:b w:val="false"/>
          <w:b w:val="false"/>
          <w:color w:val="auto"/>
          <w:lang w:eastAsia="en-US"/>
        </w:rPr>
      </w:pPr>
      <w:r>
        <w:rPr>
          <w:rFonts w:cs="Arial"/>
          <w:b w:val="false"/>
          <w:color w:val="auto"/>
        </w:rPr>
        <w:t>Não haverá exigência de garantia contratual da execução.</w:t>
      </w:r>
    </w:p>
    <w:p>
      <w:pPr>
        <w:pStyle w:val="Nivel1"/>
        <w:numPr>
          <w:ilvl w:val="0"/>
          <w:numId w:val="2"/>
        </w:numPr>
        <w:rPr>
          <w:rFonts w:cs="Arial"/>
          <w:color w:val="auto"/>
        </w:rPr>
      </w:pPr>
      <w:r>
        <w:rPr>
          <w:rFonts w:cs="Arial"/>
          <w:color w:val="auto"/>
        </w:rPr>
        <w:t>DAS SANÇÕES ADMINISTRATIVAS</w:t>
      </w:r>
    </w:p>
    <w:p>
      <w:pPr>
        <w:pStyle w:val="Normal"/>
        <w:numPr>
          <w:ilvl w:val="1"/>
          <w:numId w:val="2"/>
        </w:numPr>
        <w:spacing w:lineRule="auto" w:line="276" w:before="120" w:after="120"/>
        <w:ind w:left="792" w:right="-30" w:hanging="432"/>
        <w:jc w:val="both"/>
        <w:rPr>
          <w:rFonts w:cs="Arial"/>
          <w:szCs w:val="20"/>
        </w:rPr>
      </w:pPr>
      <w:r>
        <w:rPr>
          <w:rFonts w:cs="Arial"/>
          <w:szCs w:val="20"/>
        </w:rPr>
        <w:t>Comete infração administrativa nos termos da Lei nº 10.520, de 2002, a CONTRATADA que:</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inexecutar total ou parcialmente qualquer das obrigações assumidas em decorrência da contratação;</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do objeto;</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falhar ou fraudar na execução do contrato;</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cometer fraude fiscal.</w:t>
      </w:r>
    </w:p>
    <w:p>
      <w:pPr>
        <w:pStyle w:val="Normal"/>
        <w:numPr>
          <w:ilvl w:val="1"/>
          <w:numId w:val="2"/>
        </w:numPr>
        <w:spacing w:lineRule="auto" w:line="276" w:before="120" w:after="120"/>
        <w:ind w:left="792" w:right="-30" w:hanging="432"/>
        <w:jc w:val="both"/>
        <w:rPr>
          <w:rFonts w:cs="Arial"/>
          <w:szCs w:val="20"/>
        </w:rPr>
      </w:pPr>
      <w:r>
        <w:rPr>
          <w:rFonts w:cs="Arial"/>
          <w:szCs w:val="20"/>
        </w:rPr>
        <w:t xml:space="preserve">Pela inexecução </w:t>
      </w:r>
      <w:r>
        <w:rPr>
          <w:rFonts w:cs="Arial"/>
          <w:szCs w:val="20"/>
          <w:u w:val="single"/>
        </w:rPr>
        <w:t>total ou parcial</w:t>
      </w:r>
      <w:r>
        <w:rPr>
          <w:rFonts w:cs="Arial"/>
          <w:szCs w:val="20"/>
        </w:rPr>
        <w:t xml:space="preserve"> do objeto deste contrato, a Administração pode aplicar à CONTRATADA as seguintes sanções:</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b/>
          <w:bCs/>
          <w:sz w:val="20"/>
          <w:szCs w:val="20"/>
        </w:rPr>
        <w:t>Advertência por escrito</w:t>
      </w:r>
      <w:r>
        <w:rPr>
          <w:rFonts w:cs="Arial" w:ascii="Arial" w:hAnsi="Arial"/>
          <w:sz w:val="20"/>
          <w:szCs w:val="20"/>
        </w:rPr>
        <w:t>,quando do não cumprimento de quaisquer das obrigações contratuais consideradas faltas leves, assim entendidas aquelas que não acarretam prejuízos significativos para o serviço contratado;</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b/>
          <w:bCs/>
          <w:sz w:val="20"/>
          <w:szCs w:val="20"/>
        </w:rPr>
        <w:t>Multa de</w:t>
      </w:r>
      <w:r>
        <w:rPr>
          <w:rFonts w:cs="Arial" w:ascii="Arial" w:hAnsi="Arial"/>
          <w:sz w:val="20"/>
          <w:szCs w:val="20"/>
        </w:rPr>
        <w:t xml:space="preserve">: </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 xml:space="preserve">0,1% (um décimo por cento) até 10% (dez por cento) sobre o valor adjudicado, em caso de atraso na execução do objeto, por período superior ao previsto no </w:t>
      </w:r>
      <w:r>
        <w:rPr>
          <w:rFonts w:cs="Arial" w:ascii="Arial" w:hAnsi="Arial"/>
          <w:bCs/>
          <w:sz w:val="20"/>
          <w:szCs w:val="20"/>
        </w:rPr>
        <w:t>subitem acima,</w:t>
      </w:r>
      <w:r>
        <w:rPr>
          <w:rFonts w:cs="Arial" w:ascii="Arial" w:hAnsi="Arial"/>
          <w:sz w:val="20"/>
          <w:szCs w:val="20"/>
        </w:rPr>
        <w:t xml:space="preserve"> ou de inexecução parcial da obrigação assumida;</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0,1% (um décimo por cento) até 15% (quinze por cento) sobre o valor adjudicado, em caso de inexecução total da obrigação assumida;</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 xml:space="preserve">0,2% a 3,2% por dia sobre o valor mensal do contrato, conforme detalhamento constante das </w:t>
      </w:r>
      <w:r>
        <w:rPr>
          <w:rFonts w:cs="Arial" w:ascii="Arial" w:hAnsi="Arial"/>
          <w:b/>
          <w:bCs/>
          <w:sz w:val="20"/>
          <w:szCs w:val="20"/>
        </w:rPr>
        <w:t>tabelas 1 e 2</w:t>
      </w:r>
      <w:r>
        <w:rPr>
          <w:rFonts w:cs="Arial" w:ascii="Arial" w:hAnsi="Arial"/>
          <w:sz w:val="20"/>
          <w:szCs w:val="20"/>
        </w:rPr>
        <w:t>, abaixo; e</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as penalidades de multa decorrentes de fatos diversos serão consideradas independentes entre si.</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Suspensão de licitar e impedimento de contratar com o órgão, entidade ou unidade administrativa pela qual a Administração Pública opera e atua concretamente, pelo prazo de até dois anos;</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Sanção de impedimento de licitar e contratar com órgãos e entidades da União, com o consequente descredenciamento no SICAF pelo prazo de até cinco anos</w:t>
      </w:r>
    </w:p>
    <w:p>
      <w:pPr>
        <w:pStyle w:val="PargrafodaLista1"/>
        <w:numPr>
          <w:ilvl w:val="3"/>
          <w:numId w:val="2"/>
        </w:numPr>
        <w:spacing w:lineRule="auto" w:line="276" w:before="120" w:after="120"/>
        <w:ind w:left="1728" w:right="-30" w:hanging="648"/>
        <w:jc w:val="both"/>
        <w:rPr>
          <w:rFonts w:ascii="Arial" w:hAnsi="Arial" w:cs="Arial"/>
          <w:sz w:val="20"/>
          <w:szCs w:val="20"/>
        </w:rPr>
      </w:pPr>
      <w:r>
        <w:rPr>
          <w:rFonts w:cs="Arial" w:ascii="Arial" w:hAnsi="Arial"/>
          <w:sz w:val="20"/>
          <w:szCs w:val="20"/>
        </w:rPr>
        <w:t>A Sanção de impedimento de licitar e contratar prevista neste subitem também é aplicável em quaisquer das hipóteses previstas como infração administrativa no subitem 19.1 deste Termo de Referência.</w:t>
      </w:r>
    </w:p>
    <w:p>
      <w:pPr>
        <w:pStyle w:val="PargrafodaLista1"/>
        <w:numPr>
          <w:ilvl w:val="2"/>
          <w:numId w:val="2"/>
        </w:numPr>
        <w:spacing w:lineRule="auto" w:line="276" w:before="120" w:after="120"/>
        <w:ind w:left="1224" w:right="-30" w:hanging="504"/>
        <w:jc w:val="both"/>
        <w:rPr>
          <w:rFonts w:ascii="Arial" w:hAnsi="Arial" w:cs="Arial"/>
          <w:sz w:val="20"/>
          <w:szCs w:val="20"/>
        </w:rPr>
      </w:pPr>
      <w:r>
        <w:rPr>
          <w:rFonts w:cs="Arial" w:ascii="Arial" w:hAnsi="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pPr>
        <w:pStyle w:val="Normal"/>
        <w:numPr>
          <w:ilvl w:val="1"/>
          <w:numId w:val="2"/>
        </w:numPr>
        <w:spacing w:lineRule="auto" w:line="276" w:before="120" w:after="120"/>
        <w:ind w:left="792" w:right="-30" w:hanging="432"/>
        <w:jc w:val="both"/>
        <w:rPr>
          <w:rFonts w:cs="Arial"/>
          <w:szCs w:val="20"/>
        </w:rPr>
      </w:pPr>
      <w:r>
        <w:rPr>
          <w:rFonts w:cs="Arial"/>
          <w:szCs w:val="20"/>
        </w:rPr>
        <w:t>As sanções previstas nos subitens 19.2.1, 19.2.3, 19.2.4 e 19.2.5 poderão ser aplicadas à CONTRATADA juntamente com as de multa, descontando-a dos pagamentos a serem efetuados.</w:t>
      </w:r>
    </w:p>
    <w:p>
      <w:pPr>
        <w:pStyle w:val="Normal"/>
        <w:numPr>
          <w:ilvl w:val="1"/>
          <w:numId w:val="2"/>
        </w:numPr>
        <w:spacing w:lineRule="auto" w:line="276" w:before="120" w:after="120"/>
        <w:ind w:left="792" w:right="-30" w:hanging="432"/>
        <w:jc w:val="both"/>
        <w:rPr/>
      </w:pPr>
      <w:r>
        <w:rPr>
          <w:rFonts w:cs="Arial"/>
          <w:szCs w:val="20"/>
        </w:rPr>
        <w:t>Para efeito de aplicação de multas, às infrações são atribuídos graus, de acordo com as tabelas 1 e 2:</w:t>
      </w:r>
    </w:p>
    <w:p>
      <w:pPr>
        <w:pStyle w:val="Normal"/>
        <w:spacing w:lineRule="auto" w:line="276" w:before="120" w:after="120"/>
        <w:ind w:left="1152" w:right="-30" w:hanging="0"/>
        <w:jc w:val="both"/>
        <w:rPr>
          <w:rFonts w:cs="Arial"/>
          <w:szCs w:val="20"/>
        </w:rPr>
      </w:pPr>
      <w:r>
        <w:rPr>
          <w:rFonts w:cs="Arial"/>
          <w:szCs w:val="20"/>
        </w:rPr>
      </w:r>
    </w:p>
    <w:p>
      <w:pPr>
        <w:pStyle w:val="Normal"/>
        <w:spacing w:lineRule="auto" w:line="276" w:before="120" w:after="120"/>
        <w:ind w:right="-30" w:hanging="0"/>
        <w:jc w:val="center"/>
        <w:rPr>
          <w:rFonts w:cs="Arial"/>
          <w:b/>
          <w:b/>
          <w:bCs/>
          <w:szCs w:val="20"/>
        </w:rPr>
      </w:pPr>
      <w:r>
        <w:rPr>
          <w:rFonts w:cs="Arial"/>
          <w:b/>
          <w:bCs/>
          <w:szCs w:val="20"/>
        </w:rPr>
        <w:t>Tabela 1</w:t>
      </w:r>
    </w:p>
    <w:tbl>
      <w:tblPr>
        <w:tblW w:w="9180" w:type="dxa"/>
        <w:jc w:val="left"/>
        <w:tblInd w:w="9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CellMar>
          <w:top w:w="75" w:type="dxa"/>
          <w:left w:w="72" w:type="dxa"/>
          <w:bottom w:w="75" w:type="dxa"/>
          <w:right w:w="75" w:type="dxa"/>
        </w:tblCellMar>
        <w:tblLook w:noVBand="0" w:val="0000" w:noHBand="0" w:lastColumn="0" w:firstColumn="0" w:lastRow="0" w:firstRow="0"/>
      </w:tblPr>
      <w:tblGrid>
        <w:gridCol w:w="3576"/>
        <w:gridCol w:w="5603"/>
      </w:tblGrid>
      <w:tr>
        <w:trPr>
          <w:trHeight w:val="180" w:hRule="atLeast"/>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GRAU</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CORRESPONDÊNCIA</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1</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0,2% ao dia sobre o valor mensal do contrato</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2</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0,4% ao dia sobre o valor mensal do contrato</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3</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0,8% ao dia sobre o valor mensal do contrato</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4</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1,6% ao dia sobre o valor mensal do contrato</w:t>
            </w:r>
          </w:p>
        </w:tc>
      </w:tr>
      <w:tr>
        <w:trPr/>
        <w:tc>
          <w:tcPr>
            <w:tcW w:w="3576"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5</w:t>
            </w:r>
          </w:p>
        </w:tc>
        <w:tc>
          <w:tcPr>
            <w:tcW w:w="5603"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3,2% ao dia sobre o valor mensal do contrato</w:t>
            </w:r>
          </w:p>
        </w:tc>
      </w:tr>
    </w:tbl>
    <w:p>
      <w:pPr>
        <w:pStyle w:val="Normal"/>
        <w:spacing w:lineRule="auto" w:line="276" w:before="120" w:after="120"/>
        <w:ind w:right="-30" w:hanging="0"/>
        <w:jc w:val="center"/>
        <w:rPr>
          <w:rFonts w:cs="Arial"/>
          <w:szCs w:val="20"/>
        </w:rPr>
      </w:pPr>
      <w:r>
        <w:rPr>
          <w:rFonts w:cs="Arial"/>
          <w:b/>
          <w:bCs/>
          <w:szCs w:val="20"/>
        </w:rPr>
        <w:t>Tabela 2</w:t>
      </w:r>
    </w:p>
    <w:tbl>
      <w:tblPr>
        <w:tblW w:w="9180" w:type="dxa"/>
        <w:jc w:val="left"/>
        <w:tblInd w:w="9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CellMar>
          <w:top w:w="75" w:type="dxa"/>
          <w:left w:w="72" w:type="dxa"/>
          <w:bottom w:w="75" w:type="dxa"/>
          <w:right w:w="75" w:type="dxa"/>
        </w:tblCellMar>
        <w:tblLook w:noVBand="0" w:val="0000" w:noHBand="0" w:lastColumn="0" w:firstColumn="0" w:lastRow="0" w:firstRow="0"/>
      </w:tblPr>
      <w:tblGrid>
        <w:gridCol w:w="2239"/>
        <w:gridCol w:w="4981"/>
        <w:gridCol w:w="1960"/>
      </w:tblGrid>
      <w:tr>
        <w:trPr>
          <w:trHeight w:val="60" w:hRule="atLeast"/>
        </w:trPr>
        <w:tc>
          <w:tcPr>
            <w:tcW w:w="9180" w:type="dxa"/>
            <w:gridSpan w:val="3"/>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b/>
                <w:bCs/>
                <w:szCs w:val="20"/>
              </w:rPr>
              <w:t>INFRAÇÃO</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ITEM</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b/>
                <w:bCs/>
                <w:szCs w:val="20"/>
              </w:rPr>
              <w:t>DESCRIÇÃO</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GRAU</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1</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pPr>
            <w:r>
              <w:rPr>
                <w:rFonts w:cs="Arial"/>
                <w:szCs w:val="20"/>
              </w:rPr>
              <w:t>Permitir situação que crie a possibilidade de causar dano físico, lesão corporal ou consequências letais, por ocorrência;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05</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2</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Suspender ou interromper, salvo motivo de força maior ou caso fortuito, os serviços contratuais por dia e por unidade de atendimento;</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04</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3</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Manter funcionário sem qualificação para executar os serviços contratados, por empregado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03</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4</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Recusar-se a executar serviço determinado pela fiscalização, por serviço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02</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5</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Retirar funcionários ou encarregados do serviço durante o expediente, sem a anuência prévia do CONTRATANTE, por empregado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03</w:t>
            </w:r>
          </w:p>
        </w:tc>
      </w:tr>
      <w:tr>
        <w:trPr>
          <w:trHeight w:val="225" w:hRule="atLeast"/>
        </w:trPr>
        <w:tc>
          <w:tcPr>
            <w:tcW w:w="9180" w:type="dxa"/>
            <w:gridSpan w:val="3"/>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b/>
                <w:bCs/>
                <w:szCs w:val="20"/>
              </w:rPr>
              <w:t>Para os itens a seguir, deixar de:</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6</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Registrar e controlar, diariamente, a assiduidade e a pontualidade de seu pessoal, por funcionário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01</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7</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Cumprir determinação formal ou instrução complementar do órgão fiscalizador, por ocorrência;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02</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8</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Substituir empregado que se conduza de modo inconveniente ou não atenda às necessidades do serviço, por funcionário e por dia;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01</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9</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Cumprir quaisquer dos itens do Edital e seus Anexos não previstos nesta tabela de multas, após reincidência formalmente notificada pelo órgão fiscalizador, por item e por ocorrência;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03</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10</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Indicar e manter durante a execução do contrato os prepostos previstos no edital/contrato;</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01</w:t>
            </w:r>
          </w:p>
        </w:tc>
      </w:tr>
      <w:tr>
        <w:trPr/>
        <w:tc>
          <w:tcPr>
            <w:tcW w:w="2239"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11</w:t>
            </w:r>
          </w:p>
        </w:tc>
        <w:tc>
          <w:tcPr>
            <w:tcW w:w="4981"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tcPr>
          <w:p>
            <w:pPr>
              <w:pStyle w:val="Normal"/>
              <w:spacing w:lineRule="auto" w:line="276" w:before="120" w:after="120"/>
              <w:ind w:right="-30" w:hanging="0"/>
              <w:jc w:val="center"/>
              <w:rPr>
                <w:rFonts w:cs="Arial"/>
                <w:szCs w:val="20"/>
              </w:rPr>
            </w:pPr>
            <w:r>
              <w:rPr>
                <w:rFonts w:cs="Arial"/>
                <w:szCs w:val="20"/>
              </w:rPr>
              <w:t>Providenciar treinamento para seus funcionários conforme previsto na relação de obrigações da CONTRATADA</w:t>
            </w:r>
          </w:p>
        </w:tc>
        <w:tc>
          <w:tcPr>
            <w:tcW w:w="1960" w:type="dxa"/>
            <w:tcBorders>
              <w:top w:val="outset" w:sz="6" w:space="0" w:color="000000"/>
              <w:left w:val="outset" w:sz="6" w:space="0" w:color="000000"/>
              <w:bottom w:val="outset" w:sz="6" w:space="0" w:color="000000"/>
              <w:right w:val="outset" w:sz="6" w:space="0" w:color="000000"/>
              <w:insideH w:val="outset" w:sz="6" w:space="0" w:color="000000"/>
              <w:insideV w:val="outset" w:sz="6" w:space="0" w:color="000000"/>
            </w:tcBorders>
            <w:shd w:fill="auto" w:val="clear"/>
            <w:vAlign w:val="center"/>
          </w:tcPr>
          <w:p>
            <w:pPr>
              <w:pStyle w:val="Normal"/>
              <w:spacing w:lineRule="auto" w:line="276" w:before="120" w:after="120"/>
              <w:ind w:right="-30" w:hanging="0"/>
              <w:jc w:val="center"/>
              <w:rPr>
                <w:rFonts w:cs="Arial"/>
                <w:szCs w:val="20"/>
              </w:rPr>
            </w:pPr>
            <w:r>
              <w:rPr>
                <w:rFonts w:cs="Arial"/>
                <w:szCs w:val="20"/>
              </w:rPr>
              <w:t>01</w:t>
            </w:r>
          </w:p>
        </w:tc>
      </w:tr>
    </w:tbl>
    <w:p>
      <w:pPr>
        <w:pStyle w:val="Normal"/>
        <w:numPr>
          <w:ilvl w:val="1"/>
          <w:numId w:val="2"/>
        </w:numPr>
        <w:spacing w:lineRule="auto" w:line="276" w:before="120" w:after="120"/>
        <w:ind w:left="792" w:right="-30" w:hanging="432"/>
        <w:jc w:val="both"/>
        <w:rPr>
          <w:rFonts w:cs="Arial"/>
          <w:szCs w:val="20"/>
        </w:rPr>
      </w:pPr>
      <w:r>
        <w:rPr>
          <w:rFonts w:cs="Arial"/>
          <w:szCs w:val="20"/>
        </w:rPr>
        <w:t>Também ficam sujeitas às penalidades do art. 87, III e IV da Lei nº 8.666, de 1993, as empresas ou profissionais que:</w:t>
      </w:r>
    </w:p>
    <w:p>
      <w:pPr>
        <w:pStyle w:val="Normal"/>
        <w:numPr>
          <w:ilvl w:val="2"/>
          <w:numId w:val="2"/>
        </w:numPr>
        <w:spacing w:lineRule="auto" w:line="276" w:before="120" w:after="120"/>
        <w:ind w:left="1224" w:right="-30" w:hanging="504"/>
        <w:jc w:val="both"/>
        <w:rPr>
          <w:rFonts w:cs="Arial"/>
          <w:szCs w:val="20"/>
        </w:rPr>
      </w:pPr>
      <w:r>
        <w:rPr>
          <w:rFonts w:cs="Arial"/>
          <w:szCs w:val="20"/>
        </w:rPr>
        <w:t>tenham sofrido condenação definitiva por praticar, por meio dolosos, fraude fiscal no recolhimento de quaisquer tributos;</w:t>
      </w:r>
    </w:p>
    <w:p>
      <w:pPr>
        <w:pStyle w:val="Normal"/>
        <w:numPr>
          <w:ilvl w:val="2"/>
          <w:numId w:val="2"/>
        </w:numPr>
        <w:spacing w:lineRule="auto" w:line="276" w:before="120" w:after="120"/>
        <w:ind w:left="1224" w:right="-30" w:hanging="504"/>
        <w:jc w:val="both"/>
        <w:rPr>
          <w:rFonts w:cs="Arial"/>
          <w:szCs w:val="20"/>
        </w:rPr>
      </w:pPr>
      <w:r>
        <w:rPr>
          <w:rFonts w:cs="Arial"/>
          <w:szCs w:val="20"/>
        </w:rPr>
        <w:t>tenham praticado atos ilícitos visando a frustrar os objetivos da licitação;</w:t>
      </w:r>
    </w:p>
    <w:p>
      <w:pPr>
        <w:pStyle w:val="Normal"/>
        <w:numPr>
          <w:ilvl w:val="2"/>
          <w:numId w:val="2"/>
        </w:numPr>
        <w:spacing w:lineRule="auto" w:line="276" w:before="120" w:after="120"/>
        <w:ind w:left="1224" w:right="-30" w:hanging="504"/>
        <w:jc w:val="both"/>
        <w:rPr>
          <w:rFonts w:cs="Arial"/>
          <w:szCs w:val="20"/>
        </w:rPr>
      </w:pPr>
      <w:r>
        <w:rPr>
          <w:rFonts w:cs="Arial"/>
          <w:szCs w:val="20"/>
        </w:rPr>
        <w:t xml:space="preserve">demonstrem não possuir idoneidade para contratar com a Administração em virtude de atos ilícitos praticados. </w:t>
      </w:r>
    </w:p>
    <w:p>
      <w:pPr>
        <w:pStyle w:val="Normal"/>
        <w:numPr>
          <w:ilvl w:val="1"/>
          <w:numId w:val="2"/>
        </w:numPr>
        <w:spacing w:lineRule="auto" w:line="276" w:before="120" w:after="120"/>
        <w:ind w:left="792" w:right="-30" w:hanging="432"/>
        <w:jc w:val="both"/>
        <w:rPr>
          <w:rFonts w:cs="Arial"/>
          <w:szCs w:val="20"/>
        </w:rPr>
      </w:pPr>
      <w:r>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pPr>
        <w:pStyle w:val="Normal"/>
        <w:numPr>
          <w:ilvl w:val="1"/>
          <w:numId w:val="2"/>
        </w:numPr>
        <w:spacing w:lineRule="auto" w:line="276" w:before="120" w:after="120"/>
        <w:ind w:left="792" w:right="-30" w:hanging="432"/>
        <w:jc w:val="both"/>
        <w:rPr>
          <w:rFonts w:cs="Arial"/>
          <w:szCs w:val="20"/>
        </w:rPr>
      </w:pPr>
      <w:r>
        <w:rPr>
          <w:rFonts w:cs="Arial"/>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pPr>
        <w:pStyle w:val="Normal"/>
        <w:numPr>
          <w:ilvl w:val="2"/>
          <w:numId w:val="2"/>
        </w:numPr>
        <w:spacing w:lineRule="auto" w:line="276" w:before="120" w:after="120"/>
        <w:ind w:left="1224" w:right="-30" w:hanging="504"/>
        <w:jc w:val="both"/>
        <w:rPr>
          <w:rFonts w:cs="Arial"/>
          <w:szCs w:val="20"/>
        </w:rPr>
      </w:pPr>
      <w:r>
        <w:rPr>
          <w:rFonts w:cs="Arial"/>
          <w:szCs w:val="20"/>
        </w:rPr>
        <w:t>Caso a Contratante determine, a multa deverá ser recolhida no prazo máximo de 15 (quinze) dias, a contar da data do recebimento da comunicação enviada pela autoridade competente.</w:t>
      </w:r>
    </w:p>
    <w:p>
      <w:pPr>
        <w:pStyle w:val="Normal"/>
        <w:numPr>
          <w:ilvl w:val="1"/>
          <w:numId w:val="2"/>
        </w:numPr>
        <w:spacing w:lineRule="auto" w:line="276" w:before="120" w:after="120"/>
        <w:ind w:left="792" w:right="-30" w:hanging="432"/>
        <w:jc w:val="both"/>
        <w:rPr>
          <w:rFonts w:cs="Arial"/>
          <w:szCs w:val="20"/>
        </w:rPr>
      </w:pPr>
      <w:r>
        <w:rPr>
          <w:rFonts w:cs="Arial"/>
          <w:szCs w:val="20"/>
        </w:rPr>
        <w:t>Caso o valor da multa não seja suficiente para cobrir os prejuízos causados pela conduta do licitante, a União ou Entidade poderá cobrar o valor remanescente judicialmente, conforme artigo 419 do Código Civil.</w:t>
      </w:r>
    </w:p>
    <w:p>
      <w:pPr>
        <w:pStyle w:val="Normal"/>
        <w:numPr>
          <w:ilvl w:val="1"/>
          <w:numId w:val="2"/>
        </w:numPr>
        <w:spacing w:lineRule="auto" w:line="276" w:before="120" w:after="120"/>
        <w:ind w:left="792" w:right="-30" w:hanging="432"/>
        <w:jc w:val="both"/>
        <w:rPr>
          <w:rFonts w:cs="Arial"/>
          <w:szCs w:val="20"/>
        </w:rPr>
      </w:pPr>
      <w:r>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pPr>
        <w:pStyle w:val="Nivel2"/>
        <w:numPr>
          <w:ilvl w:val="1"/>
          <w:numId w:val="2"/>
        </w:numPr>
        <w:rPr>
          <w:rFonts w:ascii="Arial" w:hAnsi="Arial" w:cs="Arial"/>
        </w:rPr>
      </w:pPr>
      <w:r>
        <w:rPr>
          <w:rFonts w:cs="Arial" w:ascii="Arial" w:hAnsi="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ivel2"/>
        <w:numPr>
          <w:ilvl w:val="1"/>
          <w:numId w:val="2"/>
        </w:numPr>
        <w:rPr>
          <w:rFonts w:ascii="Arial" w:hAnsi="Arial" w:cs="Arial"/>
        </w:rPr>
      </w:pPr>
      <w:r>
        <w:rPr>
          <w:rFonts w:cs="Arial" w:ascii="Arial" w:hAnsi="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ivel2"/>
        <w:numPr>
          <w:ilvl w:val="1"/>
          <w:numId w:val="2"/>
        </w:numPr>
        <w:rPr>
          <w:rFonts w:ascii="Arial" w:hAnsi="Arial" w:cs="Arial"/>
        </w:rPr>
      </w:pPr>
      <w:r>
        <w:rPr>
          <w:rFonts w:cs="Arial" w:ascii="Arial" w:hAnsi="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2"/>
        </w:numPr>
        <w:spacing w:lineRule="auto" w:line="276" w:before="120" w:after="120"/>
        <w:ind w:left="792" w:right="-30" w:hanging="432"/>
        <w:jc w:val="both"/>
        <w:rPr>
          <w:rFonts w:cs="Arial"/>
          <w:szCs w:val="20"/>
        </w:rPr>
      </w:pPr>
      <w:r>
        <w:rPr>
          <w:rFonts w:cs="Arial"/>
          <w:szCs w:val="20"/>
        </w:rPr>
        <w:t>As penalidades serão obrigatoriamente registradas no SICAF.</w:t>
      </w:r>
    </w:p>
    <w:p>
      <w:pPr>
        <w:pStyle w:val="Normal"/>
        <w:spacing w:lineRule="auto" w:line="276" w:before="120" w:after="120"/>
        <w:jc w:val="both"/>
        <w:rPr>
          <w:rFonts w:cs="Arial"/>
          <w:i/>
          <w:i/>
          <w:szCs w:val="20"/>
        </w:rPr>
      </w:pPr>
      <w:r>
        <w:rPr>
          <w:rFonts w:cs="Arial"/>
          <w:i/>
          <w:szCs w:val="20"/>
        </w:rPr>
      </w:r>
    </w:p>
    <w:p>
      <w:pPr>
        <w:pStyle w:val="ListParagraph"/>
        <w:numPr>
          <w:ilvl w:val="0"/>
          <w:numId w:val="2"/>
        </w:numPr>
        <w:spacing w:lineRule="auto" w:line="276" w:before="120" w:after="120"/>
        <w:ind w:left="360" w:right="-30" w:hanging="360"/>
        <w:contextualSpacing/>
        <w:jc w:val="both"/>
        <w:rPr>
          <w:rFonts w:cs="Arial"/>
          <w:b/>
          <w:b/>
          <w:bCs/>
          <w:szCs w:val="20"/>
        </w:rPr>
      </w:pPr>
      <w:r>
        <w:rPr>
          <w:rFonts w:cs="Arial"/>
          <w:b/>
          <w:bCs/>
          <w:szCs w:val="20"/>
        </w:rPr>
        <w:t>CRITÉRIOS DE SELEÇÃO DO FORNECEDOR.</w:t>
      </w:r>
    </w:p>
    <w:p>
      <w:pPr>
        <w:pStyle w:val="Normal"/>
        <w:spacing w:lineRule="auto" w:line="276" w:before="0" w:after="120"/>
        <w:ind w:left="360" w:right="-17" w:hanging="0"/>
        <w:jc w:val="both"/>
        <w:rPr>
          <w:rFonts w:cs="Arial"/>
          <w:b/>
          <w:b/>
          <w:bCs/>
          <w:szCs w:val="20"/>
        </w:rPr>
      </w:pPr>
      <w:r>
        <w:rPr>
          <w:rFonts w:cs="Arial"/>
          <w:b/>
          <w:bCs/>
          <w:szCs w:val="20"/>
        </w:rPr>
      </w:r>
    </w:p>
    <w:p>
      <w:pPr>
        <w:pStyle w:val="Normal"/>
        <w:numPr>
          <w:ilvl w:val="1"/>
          <w:numId w:val="2"/>
        </w:numPr>
        <w:spacing w:lineRule="auto" w:line="276" w:before="120" w:after="120"/>
        <w:ind w:left="792" w:right="-30" w:hanging="432"/>
        <w:jc w:val="both"/>
        <w:rPr>
          <w:rFonts w:cs="Arial"/>
          <w:szCs w:val="20"/>
        </w:rPr>
      </w:pPr>
      <w:r>
        <w:rPr>
          <w:rFonts w:cs="Arial"/>
          <w:szCs w:val="20"/>
        </w:rPr>
        <w:t>As exigências de habilitação jurídica e de regularidade fiscal e trabalhista são as usuais para a generalidade dos objetos, conforme disciplinado no edital.</w:t>
      </w:r>
    </w:p>
    <w:p>
      <w:pPr>
        <w:pStyle w:val="Normal"/>
        <w:numPr>
          <w:ilvl w:val="1"/>
          <w:numId w:val="2"/>
        </w:numPr>
        <w:spacing w:lineRule="auto" w:line="276" w:before="120" w:after="120"/>
        <w:ind w:left="792" w:right="-30" w:hanging="432"/>
        <w:jc w:val="both"/>
        <w:rPr>
          <w:rFonts w:cs="Arial"/>
          <w:szCs w:val="20"/>
        </w:rPr>
      </w:pPr>
      <w:r>
        <w:rPr>
          <w:rFonts w:cs="Arial"/>
          <w:szCs w:val="20"/>
        </w:rPr>
        <w:t>Os critérios de qualificação econômica a serem atendidos pelo fornecedor estão previstos no edital.</w:t>
      </w:r>
    </w:p>
    <w:p>
      <w:pPr>
        <w:pStyle w:val="Normal"/>
        <w:numPr>
          <w:ilvl w:val="1"/>
          <w:numId w:val="4"/>
        </w:numPr>
        <w:spacing w:lineRule="auto" w:line="276" w:before="120" w:after="120"/>
        <w:ind w:left="792" w:right="-30" w:hanging="432"/>
        <w:jc w:val="both"/>
        <w:rPr>
          <w:rFonts w:cs="Arial"/>
          <w:szCs w:val="20"/>
        </w:rPr>
      </w:pPr>
      <w:r>
        <w:rPr>
          <w:rFonts w:cs="Arial"/>
          <w:szCs w:val="20"/>
        </w:rPr>
        <w:t>O critério de julgamento da proposta é o menor preço global.</w:t>
      </w:r>
    </w:p>
    <w:p>
      <w:pPr>
        <w:pStyle w:val="Normal"/>
        <w:numPr>
          <w:ilvl w:val="1"/>
          <w:numId w:val="4"/>
        </w:numPr>
        <w:spacing w:lineRule="auto" w:line="276" w:before="120" w:after="120"/>
        <w:ind w:left="792" w:right="-30" w:hanging="432"/>
        <w:jc w:val="both"/>
        <w:rPr>
          <w:rFonts w:cs="Arial"/>
          <w:szCs w:val="20"/>
        </w:rPr>
      </w:pPr>
      <w:r>
        <w:rPr>
          <w:rFonts w:cs="Arial"/>
          <w:szCs w:val="20"/>
        </w:rPr>
        <w:t>As regras de desempate entre propostas são as discriminadas no edital.</w:t>
      </w:r>
    </w:p>
    <w:p>
      <w:pPr>
        <w:pStyle w:val="Normal"/>
        <w:spacing w:lineRule="auto" w:line="276" w:before="0" w:after="120"/>
        <w:ind w:left="432" w:right="-17" w:hanging="0"/>
        <w:jc w:val="both"/>
        <w:rPr>
          <w:rFonts w:cs="Arial"/>
          <w:b/>
          <w:b/>
          <w:szCs w:val="20"/>
        </w:rPr>
      </w:pPr>
      <w:r>
        <w:rPr>
          <w:rFonts w:cs="Arial"/>
          <w:b/>
          <w:szCs w:val="20"/>
        </w:rPr>
      </w:r>
    </w:p>
    <w:p>
      <w:pPr>
        <w:pStyle w:val="ListParagraph"/>
        <w:numPr>
          <w:ilvl w:val="0"/>
          <w:numId w:val="4"/>
        </w:numPr>
        <w:spacing w:lineRule="auto" w:line="276" w:before="120" w:after="120"/>
        <w:ind w:left="360" w:right="-30" w:hanging="360"/>
        <w:contextualSpacing/>
        <w:jc w:val="both"/>
        <w:rPr>
          <w:rFonts w:cs="Arial"/>
          <w:b/>
          <w:b/>
          <w:bCs/>
          <w:szCs w:val="20"/>
        </w:rPr>
      </w:pPr>
      <w:r>
        <w:rPr>
          <w:rFonts w:cs="Arial"/>
          <w:b/>
          <w:bCs/>
          <w:szCs w:val="20"/>
        </w:rPr>
        <w:t>ESTIMATIVA DE PREÇOS E PREÇOS REFERENCIAIS.</w:t>
      </w:r>
    </w:p>
    <w:p>
      <w:pPr>
        <w:pStyle w:val="Normal"/>
        <w:spacing w:lineRule="auto" w:line="276" w:before="120" w:after="120"/>
        <w:ind w:right="-30" w:hanging="0"/>
        <w:jc w:val="both"/>
        <w:rPr>
          <w:rFonts w:cs="Arial"/>
          <w:b/>
          <w:b/>
          <w:i/>
          <w:i/>
          <w:szCs w:val="20"/>
        </w:rPr>
      </w:pPr>
      <w:r>
        <w:rPr>
          <w:rFonts w:cs="Arial"/>
          <w:b/>
          <w:i/>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ListParagraph"/>
        <w:numPr>
          <w:ilvl w:val="0"/>
          <w:numId w:val="3"/>
        </w:numPr>
        <w:spacing w:lineRule="auto" w:line="276" w:before="120" w:after="120"/>
        <w:ind w:left="360" w:right="-30" w:hanging="360"/>
        <w:contextualSpacing/>
        <w:jc w:val="both"/>
        <w:rPr>
          <w:rFonts w:cs="Arial"/>
          <w:i/>
          <w:i/>
          <w:vanish/>
          <w:szCs w:val="20"/>
        </w:rPr>
      </w:pPr>
      <w:r>
        <w:rPr>
          <w:rFonts w:cs="Arial"/>
          <w:i/>
          <w:vanish/>
          <w:szCs w:val="20"/>
        </w:rPr>
      </w:r>
    </w:p>
    <w:p>
      <w:pPr>
        <w:pStyle w:val="Normal"/>
        <w:numPr>
          <w:ilvl w:val="1"/>
          <w:numId w:val="3"/>
        </w:numPr>
        <w:spacing w:lineRule="auto" w:line="276" w:before="120" w:after="120"/>
        <w:ind w:left="792" w:right="-30" w:hanging="432"/>
        <w:jc w:val="both"/>
        <w:rPr/>
      </w:pPr>
      <w:r>
        <w:rPr>
          <w:rFonts w:cs="Arial"/>
          <w:szCs w:val="20"/>
        </w:rPr>
        <w:t xml:space="preserve">O custo estimado da contratação é o previsto no valor global máximo de R$ 66.548,47 (Sessenta e seis mil quinhentos e quarenta e oito reais e quarenta e sete centavos) </w:t>
      </w:r>
    </w:p>
    <w:p>
      <w:pPr>
        <w:pStyle w:val="Normal"/>
        <w:spacing w:lineRule="auto" w:line="276" w:before="0" w:after="120"/>
        <w:ind w:left="432" w:right="-17" w:hanging="0"/>
        <w:jc w:val="both"/>
        <w:rPr>
          <w:rFonts w:cs="Arial"/>
          <w:b/>
          <w:b/>
          <w:szCs w:val="20"/>
        </w:rPr>
      </w:pPr>
      <w:r>
        <w:rPr>
          <w:rFonts w:cs="Arial"/>
          <w:b/>
          <w:szCs w:val="20"/>
        </w:rPr>
      </w:r>
    </w:p>
    <w:p>
      <w:pPr>
        <w:pStyle w:val="ListParagraph"/>
        <w:numPr>
          <w:ilvl w:val="0"/>
          <w:numId w:val="5"/>
        </w:numPr>
        <w:spacing w:lineRule="auto" w:line="276" w:before="120" w:after="120"/>
        <w:ind w:left="360" w:right="-30" w:hanging="360"/>
        <w:contextualSpacing/>
        <w:jc w:val="both"/>
        <w:rPr>
          <w:rFonts w:cs="Arial"/>
          <w:b/>
          <w:b/>
          <w:bCs/>
          <w:szCs w:val="20"/>
        </w:rPr>
      </w:pPr>
      <w:r>
        <w:rPr>
          <w:rFonts w:cs="Arial"/>
          <w:b/>
          <w:bCs/>
          <w:szCs w:val="20"/>
        </w:rPr>
        <w:t>DOS RECURSOS ORÇAMENTÁRIOS.</w:t>
      </w:r>
    </w:p>
    <w:p>
      <w:pPr>
        <w:pStyle w:val="Normal"/>
        <w:spacing w:lineRule="auto" w:line="276" w:before="120" w:after="120"/>
        <w:ind w:right="-30" w:hanging="0"/>
        <w:jc w:val="both"/>
        <w:rPr>
          <w:rFonts w:cs="Arial"/>
          <w:b/>
          <w:b/>
          <w:bCs/>
          <w:szCs w:val="20"/>
        </w:rPr>
      </w:pPr>
      <w:r>
        <w:rPr>
          <w:rFonts w:cs="Arial"/>
          <w:b/>
          <w:bCs/>
          <w:szCs w:val="20"/>
        </w:rPr>
      </w:r>
    </w:p>
    <w:p>
      <w:pPr>
        <w:pStyle w:val="ListParagraph"/>
        <w:numPr>
          <w:ilvl w:val="1"/>
          <w:numId w:val="5"/>
        </w:numPr>
        <w:spacing w:lineRule="auto" w:line="276" w:before="120" w:after="120"/>
        <w:ind w:left="792" w:right="-30" w:hanging="432"/>
        <w:contextualSpacing/>
        <w:jc w:val="both"/>
        <w:rPr>
          <w:rFonts w:cs="Arial"/>
          <w:b/>
          <w:b/>
          <w:bCs/>
          <w:szCs w:val="20"/>
        </w:rPr>
      </w:pPr>
      <w:r>
        <w:rPr>
          <w:rFonts w:cs="Arial"/>
          <w:szCs w:val="20"/>
        </w:rPr>
        <w:t>Gestão/Unidade: 00001/771000</w:t>
      </w:r>
    </w:p>
    <w:p>
      <w:pPr>
        <w:pStyle w:val="ListParagraph"/>
        <w:numPr>
          <w:ilvl w:val="1"/>
          <w:numId w:val="5"/>
        </w:numPr>
        <w:spacing w:lineRule="auto" w:line="276" w:before="120" w:after="120"/>
        <w:ind w:left="792" w:right="-30" w:hanging="432"/>
        <w:contextualSpacing/>
        <w:jc w:val="both"/>
        <w:rPr>
          <w:rFonts w:cs="Arial"/>
          <w:b/>
          <w:b/>
          <w:bCs/>
          <w:szCs w:val="20"/>
        </w:rPr>
      </w:pPr>
      <w:r>
        <w:rPr>
          <w:rFonts w:cs="Arial"/>
          <w:szCs w:val="20"/>
        </w:rPr>
        <w:t>Fonte: 0100000000</w:t>
      </w:r>
    </w:p>
    <w:p>
      <w:pPr>
        <w:pStyle w:val="ListParagraph"/>
        <w:numPr>
          <w:ilvl w:val="1"/>
          <w:numId w:val="5"/>
        </w:numPr>
        <w:spacing w:lineRule="auto" w:line="276" w:before="120" w:after="120"/>
        <w:ind w:left="792" w:right="-30" w:hanging="432"/>
        <w:contextualSpacing/>
        <w:jc w:val="both"/>
        <w:rPr/>
      </w:pPr>
      <w:r>
        <w:rPr>
          <w:rFonts w:cs="Arial"/>
          <w:szCs w:val="20"/>
        </w:rPr>
        <w:t>Natureza da Despesa: 339039</w:t>
      </w:r>
    </w:p>
    <w:p>
      <w:pPr>
        <w:pStyle w:val="ListParagraph"/>
        <w:numPr>
          <w:ilvl w:val="1"/>
          <w:numId w:val="5"/>
        </w:numPr>
        <w:spacing w:lineRule="auto" w:line="276" w:before="120" w:after="120"/>
        <w:ind w:left="792" w:right="-30" w:hanging="432"/>
        <w:contextualSpacing/>
        <w:jc w:val="both"/>
        <w:rPr/>
      </w:pPr>
      <w:r>
        <w:rPr>
          <w:rFonts w:cs="Arial"/>
          <w:szCs w:val="20"/>
        </w:rPr>
        <w:t>PI: G483MN1</w:t>
      </w:r>
    </w:p>
    <w:p>
      <w:pPr>
        <w:pStyle w:val="ListParagraph"/>
        <w:spacing w:lineRule="auto" w:line="276" w:before="120" w:after="120"/>
        <w:ind w:left="792" w:right="-30" w:hanging="0"/>
        <w:contextualSpacing/>
        <w:jc w:val="both"/>
        <w:rPr>
          <w:rFonts w:cs="Arial"/>
          <w:szCs w:val="20"/>
        </w:rPr>
      </w:pPr>
      <w:r>
        <w:rPr>
          <w:rFonts w:cs="Arial"/>
          <w:szCs w:val="20"/>
        </w:rPr>
      </w:r>
    </w:p>
    <w:p>
      <w:pPr>
        <w:pStyle w:val="ListParagraph"/>
        <w:spacing w:lineRule="auto" w:line="276" w:before="120" w:after="120"/>
        <w:ind w:left="792" w:right="-30" w:hanging="0"/>
        <w:contextualSpacing/>
        <w:jc w:val="both"/>
        <w:rPr>
          <w:rFonts w:cs="Arial"/>
          <w:szCs w:val="20"/>
        </w:rPr>
      </w:pPr>
      <w:r>
        <w:rPr>
          <w:rFonts w:cs="Arial"/>
          <w:szCs w:val="20"/>
        </w:rPr>
      </w:r>
    </w:p>
    <w:p>
      <w:pPr>
        <w:pStyle w:val="ListParagraph"/>
        <w:numPr>
          <w:ilvl w:val="0"/>
          <w:numId w:val="5"/>
        </w:numPr>
        <w:spacing w:lineRule="auto" w:line="276" w:before="120" w:after="120"/>
        <w:ind w:left="360" w:right="-30" w:hanging="360"/>
        <w:contextualSpacing/>
        <w:jc w:val="both"/>
        <w:rPr>
          <w:b/>
          <w:b/>
        </w:rPr>
      </w:pPr>
      <w:r>
        <w:rPr>
          <w:rFonts w:cs="Arial"/>
          <w:b/>
          <w:szCs w:val="20"/>
        </w:rPr>
        <w:t>APÊNDICES</w:t>
      </w:r>
    </w:p>
    <w:p>
      <w:pPr>
        <w:pStyle w:val="ListParagraph"/>
        <w:spacing w:lineRule="auto" w:line="276" w:before="120" w:after="120"/>
        <w:ind w:left="792" w:right="-30" w:hanging="0"/>
        <w:contextualSpacing/>
        <w:jc w:val="both"/>
        <w:rPr>
          <w:rFonts w:cs="Arial"/>
          <w:szCs w:val="20"/>
        </w:rPr>
      </w:pPr>
      <w:r>
        <w:rPr>
          <w:rFonts w:cs="Arial"/>
          <w:szCs w:val="20"/>
        </w:rPr>
      </w:r>
    </w:p>
    <w:p>
      <w:pPr>
        <w:pStyle w:val="ListParagraph"/>
        <w:spacing w:lineRule="auto" w:line="276" w:before="120" w:after="120"/>
        <w:ind w:left="426" w:right="-30" w:hanging="0"/>
        <w:contextualSpacing/>
        <w:jc w:val="both"/>
        <w:rPr>
          <w:rFonts w:cs="Arial"/>
          <w:szCs w:val="20"/>
        </w:rPr>
      </w:pPr>
      <w:r>
        <w:rPr>
          <w:rFonts w:cs="Arial"/>
          <w:szCs w:val="20"/>
        </w:rPr>
        <w:t>23.1          Apêndice I – Estudos Preliminares</w:t>
      </w:r>
    </w:p>
    <w:p>
      <w:pPr>
        <w:pStyle w:val="ListParagraph"/>
        <w:spacing w:lineRule="auto" w:line="276" w:before="120" w:after="120"/>
        <w:ind w:left="792" w:right="-30" w:hanging="0"/>
        <w:contextualSpacing/>
        <w:jc w:val="both"/>
        <w:rPr>
          <w:rFonts w:cs="Arial"/>
          <w:szCs w:val="20"/>
        </w:rPr>
      </w:pPr>
      <w:r>
        <w:rPr>
          <w:rFonts w:cs="Arial"/>
          <w:szCs w:val="20"/>
        </w:rPr>
      </w:r>
    </w:p>
    <w:p>
      <w:pPr>
        <w:pStyle w:val="ListParagraph"/>
        <w:spacing w:lineRule="auto" w:line="276" w:before="120" w:after="120"/>
        <w:ind w:left="792" w:right="-30" w:hanging="0"/>
        <w:contextualSpacing/>
        <w:jc w:val="both"/>
        <w:rPr>
          <w:rFonts w:cs="Arial"/>
          <w:szCs w:val="20"/>
        </w:rPr>
      </w:pPr>
      <w:r>
        <w:rPr>
          <w:rFonts w:cs="Arial"/>
          <w:szCs w:val="20"/>
        </w:rPr>
      </w:r>
    </w:p>
    <w:p>
      <w:pPr>
        <w:pStyle w:val="ListParagraph"/>
        <w:spacing w:lineRule="auto" w:line="276" w:before="120" w:after="120"/>
        <w:ind w:left="792" w:right="-30" w:hanging="0"/>
        <w:contextualSpacing/>
        <w:jc w:val="both"/>
        <w:rPr>
          <w:rFonts w:cs="Arial"/>
          <w:szCs w:val="20"/>
        </w:rPr>
      </w:pPr>
      <w:r>
        <w:rPr>
          <w:rFonts w:cs="Arial"/>
          <w:szCs w:val="20"/>
        </w:rPr>
      </w:r>
    </w:p>
    <w:p>
      <w:pPr>
        <w:pStyle w:val="ListParagraph"/>
        <w:spacing w:lineRule="auto" w:line="276" w:before="120" w:after="120"/>
        <w:ind w:left="792" w:right="-30" w:hanging="0"/>
        <w:contextualSpacing/>
        <w:jc w:val="both"/>
        <w:rPr>
          <w:rFonts w:cs="Arial"/>
          <w:szCs w:val="20"/>
        </w:rPr>
      </w:pPr>
      <w:r>
        <w:rPr>
          <w:rFonts w:cs="Arial"/>
          <w:szCs w:val="20"/>
        </w:rPr>
      </w:r>
    </w:p>
    <w:p>
      <w:pPr>
        <w:pStyle w:val="ListParagraph"/>
        <w:spacing w:lineRule="auto" w:line="276" w:before="120" w:after="120"/>
        <w:ind w:left="792" w:right="-30" w:hanging="0"/>
        <w:contextualSpacing/>
        <w:jc w:val="both"/>
        <w:rPr>
          <w:rFonts w:cs="Arial"/>
          <w:szCs w:val="20"/>
        </w:rPr>
      </w:pPr>
      <w:r>
        <w:rPr>
          <w:rFonts w:cs="Arial"/>
          <w:szCs w:val="20"/>
        </w:rPr>
      </w:r>
    </w:p>
    <w:p>
      <w:pPr>
        <w:pStyle w:val="Normal"/>
        <w:spacing w:lineRule="auto" w:line="276" w:before="120" w:after="120"/>
        <w:ind w:right="-30" w:hanging="0"/>
        <w:jc w:val="both"/>
        <w:rPr>
          <w:rFonts w:cs="Arial"/>
          <w:bCs/>
          <w:szCs w:val="20"/>
        </w:rPr>
      </w:pPr>
      <w:r>
        <w:rPr>
          <w:rFonts w:cs="Arial"/>
          <w:bCs/>
          <w:szCs w:val="20"/>
        </w:rPr>
      </w:r>
      <w:bookmarkStart w:id="0" w:name="_GoBack"/>
      <w:bookmarkStart w:id="1" w:name="_GoBack"/>
      <w:bookmarkEnd w:id="1"/>
    </w:p>
    <w:p>
      <w:pPr>
        <w:pStyle w:val="Normal"/>
        <w:spacing w:lineRule="auto" w:line="276" w:before="120" w:after="120"/>
        <w:ind w:right="-30" w:hanging="0"/>
        <w:jc w:val="right"/>
        <w:rPr>
          <w:rFonts w:cs="Arial"/>
          <w:bCs/>
          <w:szCs w:val="20"/>
        </w:rPr>
      </w:pPr>
      <w:r>
        <w:rPr>
          <w:rFonts w:cs="Arial"/>
          <w:bCs/>
          <w:szCs w:val="20"/>
        </w:rPr>
        <w:t>Rio de Janeiro, RJ em ___ de _____________ de 2020.</w:t>
      </w:r>
    </w:p>
    <w:p>
      <w:pPr>
        <w:pStyle w:val="Normal"/>
        <w:spacing w:lineRule="auto" w:line="276" w:before="120" w:after="120"/>
        <w:ind w:right="-30" w:hanging="0"/>
        <w:jc w:val="both"/>
        <w:rPr>
          <w:rFonts w:cs="Arial"/>
          <w:b/>
          <w:b/>
          <w:bCs/>
          <w:szCs w:val="20"/>
        </w:rPr>
      </w:pPr>
      <w:r>
        <w:rPr>
          <w:rFonts w:cs="Arial"/>
          <w:b/>
          <w:bCs/>
          <w:szCs w:val="20"/>
        </w:rPr>
      </w:r>
    </w:p>
    <w:p>
      <w:pPr>
        <w:pStyle w:val="Normal"/>
        <w:spacing w:lineRule="auto" w:line="276" w:before="120" w:after="120"/>
        <w:ind w:right="-30" w:hanging="0"/>
        <w:jc w:val="both"/>
        <w:rPr>
          <w:rFonts w:cs="Arial"/>
          <w:b/>
          <w:b/>
          <w:bCs/>
          <w:szCs w:val="20"/>
        </w:rPr>
      </w:pPr>
      <w:r>
        <w:rPr>
          <w:rFonts w:cs="Arial"/>
          <w:b/>
          <w:bCs/>
          <w:szCs w:val="20"/>
        </w:rPr>
      </w:r>
    </w:p>
    <w:p>
      <w:pPr>
        <w:pStyle w:val="Normal"/>
        <w:ind w:right="-28" w:hanging="0"/>
        <w:jc w:val="center"/>
        <w:rPr>
          <w:rFonts w:cs="Arial"/>
          <w:b/>
          <w:b/>
          <w:bCs/>
          <w:szCs w:val="20"/>
        </w:rPr>
      </w:pPr>
      <w:r>
        <w:rPr>
          <w:rFonts w:cs="Arial"/>
          <w:szCs w:val="20"/>
        </w:rPr>
        <w:t>LUIZ PAULO VIEIRA DE VASCONCELLOS</w:t>
      </w:r>
    </w:p>
    <w:p>
      <w:pPr>
        <w:pStyle w:val="Normal"/>
        <w:ind w:right="-28" w:hanging="0"/>
        <w:jc w:val="center"/>
        <w:rPr>
          <w:rFonts w:cs="Arial"/>
          <w:bCs/>
          <w:szCs w:val="20"/>
        </w:rPr>
      </w:pPr>
      <w:r>
        <w:rPr>
          <w:rFonts w:cs="Arial"/>
          <w:bCs/>
          <w:szCs w:val="20"/>
        </w:rPr>
        <w:t>Segundo-Sargento (CA)</w:t>
      </w:r>
    </w:p>
    <w:p>
      <w:pPr>
        <w:pStyle w:val="Normal"/>
        <w:ind w:right="-28" w:hanging="0"/>
        <w:jc w:val="center"/>
        <w:rPr>
          <w:rFonts w:cs="Arial"/>
          <w:bCs/>
          <w:szCs w:val="20"/>
        </w:rPr>
      </w:pPr>
      <w:r>
        <w:rPr>
          <w:rFonts w:cs="Arial"/>
          <w:bCs/>
          <w:szCs w:val="20"/>
        </w:rPr>
        <w:t>Auxiliar do Supervisor de Viaturas</w:t>
      </w:r>
    </w:p>
    <w:p>
      <w:pPr>
        <w:pStyle w:val="Normal"/>
        <w:ind w:right="-28" w:hanging="0"/>
        <w:jc w:val="center"/>
        <w:rPr>
          <w:rFonts w:cs="Arial"/>
          <w:b/>
          <w:b/>
          <w:bCs/>
          <w:szCs w:val="20"/>
        </w:rPr>
      </w:pPr>
      <w:r>
        <w:rPr>
          <w:rFonts w:cs="Arial"/>
          <w:b/>
          <w:bCs/>
          <w:szCs w:val="20"/>
        </w:rPr>
      </w:r>
    </w:p>
    <w:p>
      <w:pPr>
        <w:pStyle w:val="Normal"/>
        <w:ind w:right="-28" w:hanging="0"/>
        <w:jc w:val="center"/>
        <w:rPr>
          <w:rFonts w:cs="Arial"/>
          <w:b/>
          <w:b/>
          <w:bCs/>
          <w:szCs w:val="20"/>
        </w:rPr>
      </w:pPr>
      <w:r>
        <w:rPr>
          <w:rFonts w:cs="Arial"/>
          <w:b/>
          <w:bCs/>
          <w:szCs w:val="20"/>
        </w:rPr>
      </w:r>
    </w:p>
    <w:p>
      <w:pPr>
        <w:pStyle w:val="Normal"/>
        <w:ind w:right="-28" w:hanging="0"/>
        <w:jc w:val="center"/>
        <w:rPr>
          <w:rFonts w:cs="Arial"/>
          <w:b/>
          <w:b/>
          <w:bCs/>
          <w:szCs w:val="20"/>
        </w:rPr>
      </w:pPr>
      <w:r>
        <w:rPr>
          <w:rFonts w:cs="Arial"/>
          <w:b/>
          <w:bCs/>
          <w:szCs w:val="20"/>
        </w:rPr>
      </w:r>
    </w:p>
    <w:p>
      <w:pPr>
        <w:pStyle w:val="Normal"/>
        <w:ind w:right="-28" w:hanging="0"/>
        <w:jc w:val="center"/>
        <w:rPr>
          <w:rFonts w:cs="Arial"/>
          <w:b/>
          <w:b/>
          <w:bCs/>
          <w:szCs w:val="20"/>
        </w:rPr>
      </w:pPr>
      <w:r>
        <w:rPr>
          <w:rFonts w:cs="Arial"/>
          <w:b/>
          <w:bCs/>
          <w:szCs w:val="20"/>
        </w:rPr>
      </w:r>
    </w:p>
    <w:p>
      <w:pPr>
        <w:pStyle w:val="Normal"/>
        <w:ind w:right="-28" w:hanging="0"/>
        <w:jc w:val="center"/>
        <w:rPr>
          <w:rFonts w:cs="Arial"/>
          <w:b/>
          <w:b/>
          <w:bCs/>
          <w:szCs w:val="20"/>
        </w:rPr>
      </w:pPr>
      <w:r>
        <w:rPr>
          <w:rFonts w:cs="Arial"/>
          <w:b/>
          <w:bCs/>
          <w:szCs w:val="20"/>
        </w:rPr>
      </w:r>
    </w:p>
    <w:p>
      <w:pPr>
        <w:pStyle w:val="Xl31"/>
        <w:spacing w:lineRule="auto" w:line="360"/>
        <w:jc w:val="center"/>
        <w:rPr>
          <w:sz w:val="20"/>
          <w:szCs w:val="20"/>
        </w:rPr>
      </w:pPr>
      <w:r>
        <w:rPr>
          <w:sz w:val="20"/>
          <w:szCs w:val="20"/>
        </w:rPr>
        <w:t>JUSTIFICATIVA, MOTIVAÇÃO E APROVAÇÃO</w:t>
      </w:r>
    </w:p>
    <w:p>
      <w:pPr>
        <w:pStyle w:val="Normal"/>
        <w:jc w:val="both"/>
        <w:rPr>
          <w:rFonts w:cs="Arial"/>
          <w:b/>
          <w:b/>
          <w:bCs/>
          <w:szCs w:val="20"/>
        </w:rPr>
      </w:pPr>
      <w:r>
        <w:rPr>
          <w:rFonts w:cs="Arial"/>
          <w:b/>
          <w:bCs/>
          <w:szCs w:val="20"/>
        </w:rPr>
        <w:tab/>
      </w:r>
    </w:p>
    <w:p>
      <w:pPr>
        <w:pStyle w:val="Normal"/>
        <w:jc w:val="both"/>
        <w:rPr>
          <w:rFonts w:cs="Arial"/>
          <w:szCs w:val="20"/>
        </w:rPr>
      </w:pPr>
      <w:r>
        <w:rPr>
          <w:rFonts w:cs="Arial"/>
          <w:szCs w:val="20"/>
        </w:rPr>
        <w:t>A justificativa deste serviço a ser contratado é proporcionar condições necessárias à cobertura de despesas decorrentes de acidentes tais como: roubo, incêndio e colisão, dentre outros prejuízos que possam vir acometer às viaturas desta Diretoria.</w:t>
      </w:r>
    </w:p>
    <w:p>
      <w:pPr>
        <w:pStyle w:val="Normal"/>
        <w:jc w:val="both"/>
        <w:rPr>
          <w:rFonts w:cs="Arial"/>
          <w:szCs w:val="20"/>
        </w:rPr>
      </w:pPr>
      <w:r>
        <w:rPr>
          <w:rFonts w:cs="Arial"/>
          <w:szCs w:val="20"/>
        </w:rPr>
      </w:r>
    </w:p>
    <w:p>
      <w:pPr>
        <w:pStyle w:val="Normal"/>
        <w:jc w:val="both"/>
        <w:rPr>
          <w:rFonts w:cs="Arial"/>
          <w:szCs w:val="20"/>
        </w:rPr>
      </w:pPr>
      <w:r>
        <w:rPr>
          <w:rFonts w:cs="Arial"/>
          <w:szCs w:val="20"/>
        </w:rPr>
        <w:tab/>
      </w:r>
    </w:p>
    <w:p>
      <w:pPr>
        <w:pStyle w:val="Normal"/>
        <w:tabs>
          <w:tab w:val="left" w:pos="480" w:leader="none"/>
        </w:tabs>
        <w:jc w:val="both"/>
        <w:rPr/>
      </w:pPr>
      <w:r>
        <w:rPr>
          <w:rFonts w:cs="Arial"/>
          <w:szCs w:val="20"/>
        </w:rPr>
        <w:t xml:space="preserve">Assim, </w:t>
      </w:r>
      <w:r>
        <w:rPr>
          <w:rFonts w:cs="Arial"/>
          <w:b/>
          <w:bCs/>
          <w:szCs w:val="20"/>
          <w:u w:val="single"/>
        </w:rPr>
        <w:t>motivado</w:t>
      </w:r>
      <w:r>
        <w:rPr>
          <w:rFonts w:cs="Arial"/>
          <w:szCs w:val="20"/>
        </w:rPr>
        <w:t xml:space="preserve"> pelas especificações técnicas apresentadas e nos elementos contidos no orçamento estimado, </w:t>
      </w:r>
      <w:r>
        <w:rPr>
          <w:rFonts w:cs="Arial"/>
          <w:b/>
          <w:bCs/>
          <w:szCs w:val="20"/>
          <w:u w:val="single"/>
        </w:rPr>
        <w:t>aprovo</w:t>
      </w:r>
      <w:r>
        <w:rPr>
          <w:rFonts w:cs="Arial"/>
          <w:szCs w:val="20"/>
        </w:rPr>
        <w:t xml:space="preserve"> este Termo de Referência com fulcro nos termos do inciso III do art. 13º do Decreto nº 10.024 de 20 de setembro de 2019.</w:t>
      </w:r>
    </w:p>
    <w:p>
      <w:pPr>
        <w:pStyle w:val="ANEXO"/>
        <w:tabs>
          <w:tab w:val="left" w:pos="240"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 w:val="left" w:pos="10620" w:leader="none"/>
          <w:tab w:val="left" w:pos="11328" w:leader="none"/>
          <w:tab w:val="left" w:pos="12036" w:leader="none"/>
          <w:tab w:val="left" w:pos="12744" w:leader="none"/>
          <w:tab w:val="left" w:pos="13452" w:leader="none"/>
          <w:tab w:val="left" w:pos="14160" w:leader="none"/>
          <w:tab w:val="left" w:pos="14868" w:leader="none"/>
          <w:tab w:val="left" w:pos="15576" w:leader="none"/>
          <w:tab w:val="left" w:pos="16284" w:leader="none"/>
          <w:tab w:val="left" w:pos="16992" w:leader="none"/>
          <w:tab w:val="left" w:pos="17700" w:leader="none"/>
          <w:tab w:val="left" w:pos="18408" w:leader="none"/>
          <w:tab w:val="left" w:pos="19116" w:leader="none"/>
          <w:tab w:val="left" w:pos="19824" w:leader="none"/>
          <w:tab w:val="left" w:pos="20532" w:leader="none"/>
          <w:tab w:val="left" w:pos="21240" w:leader="none"/>
          <w:tab w:val="left" w:pos="21948" w:leader="none"/>
          <w:tab w:val="left" w:pos="22656" w:leader="none"/>
          <w:tab w:val="left" w:pos="23364" w:leader="none"/>
          <w:tab w:val="left" w:pos="24072" w:leader="none"/>
          <w:tab w:val="left" w:pos="24780" w:leader="none"/>
          <w:tab w:val="left" w:pos="25488" w:leader="none"/>
          <w:tab w:val="left" w:pos="26196" w:leader="none"/>
          <w:tab w:val="left" w:pos="26904" w:leader="none"/>
          <w:tab w:val="left" w:pos="27612" w:leader="none"/>
          <w:tab w:val="left" w:pos="28320" w:leader="none"/>
        </w:tabs>
        <w:spacing w:lineRule="atLeast" w:line="340"/>
        <w:ind w:left="0" w:hanging="0"/>
        <w:jc w:val="right"/>
        <w:rPr>
          <w:rFonts w:ascii="Arial" w:hAnsi="Arial" w:cs="Arial"/>
        </w:rPr>
      </w:pPr>
      <w:r>
        <w:rPr>
          <w:rFonts w:cs="Arial" w:ascii="Arial" w:hAnsi="Arial"/>
        </w:rPr>
        <w:tab/>
      </w:r>
    </w:p>
    <w:p>
      <w:pPr>
        <w:pStyle w:val="ANEXO"/>
        <w:tabs>
          <w:tab w:val="left" w:pos="240"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 w:val="left" w:pos="10620" w:leader="none"/>
          <w:tab w:val="left" w:pos="11328" w:leader="none"/>
          <w:tab w:val="left" w:pos="12036" w:leader="none"/>
          <w:tab w:val="left" w:pos="12744" w:leader="none"/>
          <w:tab w:val="left" w:pos="13452" w:leader="none"/>
          <w:tab w:val="left" w:pos="14160" w:leader="none"/>
          <w:tab w:val="left" w:pos="14868" w:leader="none"/>
          <w:tab w:val="left" w:pos="15576" w:leader="none"/>
          <w:tab w:val="left" w:pos="16284" w:leader="none"/>
          <w:tab w:val="left" w:pos="16992" w:leader="none"/>
          <w:tab w:val="left" w:pos="17700" w:leader="none"/>
          <w:tab w:val="left" w:pos="18408" w:leader="none"/>
          <w:tab w:val="left" w:pos="19116" w:leader="none"/>
          <w:tab w:val="left" w:pos="19824" w:leader="none"/>
          <w:tab w:val="left" w:pos="20532" w:leader="none"/>
          <w:tab w:val="left" w:pos="21240" w:leader="none"/>
          <w:tab w:val="left" w:pos="21948" w:leader="none"/>
          <w:tab w:val="left" w:pos="22656" w:leader="none"/>
          <w:tab w:val="left" w:pos="23364" w:leader="none"/>
          <w:tab w:val="left" w:pos="24072" w:leader="none"/>
          <w:tab w:val="left" w:pos="24780" w:leader="none"/>
          <w:tab w:val="left" w:pos="25488" w:leader="none"/>
          <w:tab w:val="left" w:pos="26196" w:leader="none"/>
          <w:tab w:val="left" w:pos="26904" w:leader="none"/>
          <w:tab w:val="left" w:pos="27612" w:leader="none"/>
          <w:tab w:val="left" w:pos="28320" w:leader="none"/>
        </w:tabs>
        <w:spacing w:lineRule="atLeast" w:line="340"/>
        <w:ind w:left="0" w:hanging="0"/>
        <w:jc w:val="right"/>
        <w:rPr>
          <w:rFonts w:ascii="Arial" w:hAnsi="Arial" w:cs="Arial"/>
        </w:rPr>
      </w:pPr>
      <w:r>
        <w:rPr>
          <w:rFonts w:cs="Arial" w:ascii="Arial" w:hAnsi="Arial"/>
        </w:rPr>
      </w:r>
    </w:p>
    <w:p>
      <w:pPr>
        <w:pStyle w:val="ANEXO"/>
        <w:tabs>
          <w:tab w:val="left" w:pos="240"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 w:val="left" w:pos="10620" w:leader="none"/>
          <w:tab w:val="left" w:pos="11328" w:leader="none"/>
          <w:tab w:val="left" w:pos="12036" w:leader="none"/>
          <w:tab w:val="left" w:pos="12744" w:leader="none"/>
          <w:tab w:val="left" w:pos="13452" w:leader="none"/>
          <w:tab w:val="left" w:pos="14160" w:leader="none"/>
          <w:tab w:val="left" w:pos="14868" w:leader="none"/>
          <w:tab w:val="left" w:pos="15576" w:leader="none"/>
          <w:tab w:val="left" w:pos="16284" w:leader="none"/>
          <w:tab w:val="left" w:pos="16992" w:leader="none"/>
          <w:tab w:val="left" w:pos="17700" w:leader="none"/>
          <w:tab w:val="left" w:pos="18408" w:leader="none"/>
          <w:tab w:val="left" w:pos="19116" w:leader="none"/>
          <w:tab w:val="left" w:pos="19824" w:leader="none"/>
          <w:tab w:val="left" w:pos="20532" w:leader="none"/>
          <w:tab w:val="left" w:pos="21240" w:leader="none"/>
          <w:tab w:val="left" w:pos="21948" w:leader="none"/>
          <w:tab w:val="left" w:pos="22656" w:leader="none"/>
          <w:tab w:val="left" w:pos="23364" w:leader="none"/>
          <w:tab w:val="left" w:pos="24072" w:leader="none"/>
          <w:tab w:val="left" w:pos="24780" w:leader="none"/>
          <w:tab w:val="left" w:pos="25488" w:leader="none"/>
          <w:tab w:val="left" w:pos="26196" w:leader="none"/>
          <w:tab w:val="left" w:pos="26904" w:leader="none"/>
          <w:tab w:val="left" w:pos="27612" w:leader="none"/>
          <w:tab w:val="left" w:pos="28320" w:leader="none"/>
        </w:tabs>
        <w:spacing w:lineRule="atLeast" w:line="340"/>
        <w:ind w:left="0" w:hanging="0"/>
        <w:jc w:val="right"/>
        <w:rPr>
          <w:rFonts w:ascii="Arial" w:hAnsi="Arial" w:cs="Arial"/>
        </w:rPr>
      </w:pPr>
      <w:r>
        <w:rPr>
          <w:rFonts w:cs="Arial" w:ascii="Arial" w:hAnsi="Arial"/>
        </w:rPr>
        <w:t>Rio de Janeiro /RJ, em         de                    de 2020.</w:t>
      </w:r>
    </w:p>
    <w:p>
      <w:pPr>
        <w:pStyle w:val="Normal"/>
        <w:jc w:val="right"/>
        <w:rPr>
          <w:rFonts w:cs="Arial"/>
          <w:szCs w:val="20"/>
        </w:rPr>
      </w:pPr>
      <w:r>
        <w:rPr>
          <w:rFonts w:cs="Arial"/>
          <w:szCs w:val="20"/>
        </w:rPr>
      </w:r>
    </w:p>
    <w:p>
      <w:pPr>
        <w:pStyle w:val="Normal"/>
        <w:jc w:val="both"/>
        <w:rPr>
          <w:rFonts w:cs="Arial"/>
          <w:szCs w:val="20"/>
        </w:rPr>
      </w:pPr>
      <w:r>
        <w:rPr>
          <w:rFonts w:cs="Arial"/>
          <w:szCs w:val="20"/>
        </w:rPr>
      </w:r>
    </w:p>
    <w:p>
      <w:pPr>
        <w:pStyle w:val="Normal"/>
        <w:jc w:val="both"/>
        <w:rPr>
          <w:rFonts w:cs="Arial"/>
          <w:szCs w:val="20"/>
        </w:rPr>
      </w:pPr>
      <w:r>
        <w:rPr>
          <w:rFonts w:cs="Arial"/>
          <w:szCs w:val="20"/>
        </w:rPr>
      </w:r>
    </w:p>
    <w:p>
      <w:pPr>
        <w:pStyle w:val="Normal"/>
        <w:jc w:val="both"/>
        <w:rPr>
          <w:rFonts w:cs="Arial"/>
          <w:szCs w:val="20"/>
        </w:rPr>
      </w:pPr>
      <w:r>
        <w:rPr>
          <w:rFonts w:cs="Arial"/>
          <w:szCs w:val="20"/>
        </w:rPr>
      </w:r>
    </w:p>
    <w:p>
      <w:pPr>
        <w:pStyle w:val="Normal"/>
        <w:jc w:val="center"/>
        <w:rPr>
          <w:rFonts w:cs="Arial"/>
          <w:szCs w:val="20"/>
        </w:rPr>
      </w:pPr>
      <w:r>
        <w:rPr>
          <w:rFonts w:cs="Arial"/>
          <w:szCs w:val="20"/>
        </w:rPr>
        <w:t>RICARDO BERNARDES DA CUNHA</w:t>
      </w:r>
    </w:p>
    <w:p>
      <w:pPr>
        <w:pStyle w:val="Normal"/>
        <w:jc w:val="center"/>
        <w:rPr>
          <w:rFonts w:cs="Arial"/>
          <w:szCs w:val="20"/>
        </w:rPr>
      </w:pPr>
      <w:r>
        <w:rPr>
          <w:rFonts w:cs="Arial"/>
          <w:szCs w:val="20"/>
        </w:rPr>
        <w:t>Capitão de Fragata (IM)</w:t>
      </w:r>
    </w:p>
    <w:p>
      <w:pPr>
        <w:pStyle w:val="Normal"/>
        <w:jc w:val="center"/>
        <w:rPr>
          <w:rFonts w:cs="Arial"/>
          <w:szCs w:val="20"/>
        </w:rPr>
      </w:pPr>
      <w:r>
        <w:rPr>
          <w:rFonts w:cs="Arial"/>
          <w:szCs w:val="20"/>
        </w:rPr>
        <w:t>Ordenador de Despesas</w:t>
      </w:r>
    </w:p>
    <w:p>
      <w:pPr>
        <w:pStyle w:val="Normal"/>
        <w:ind w:right="-28" w:hanging="0"/>
        <w:jc w:val="center"/>
        <w:rPr/>
      </w:pPr>
      <w:r>
        <w:rPr/>
      </w:r>
    </w:p>
    <w:sectPr>
      <w:footerReference w:type="default" r:id="rId3"/>
      <w:type w:val="nextPage"/>
      <w:pgSz w:w="11906" w:h="16838"/>
      <w:pgMar w:left="1701" w:right="1134" w:header="0" w:top="1418" w:footer="709" w:bottom="1418" w:gutter="0"/>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Ecofont_Spranq_eco_Sans">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Futura Bk BT">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sz w:val="12"/>
        <w:szCs w:val="12"/>
      </w:rPr>
    </w:pPr>
    <w:r>
      <w:rPr>
        <w:sz w:val="12"/>
        <w:szCs w:val="12"/>
      </w:rPr>
      <w:t>Câmara Nacional de Modelos de Licitações e Contratos Administrativos da Consultoria-Geral da União</w:t>
    </w:r>
  </w:p>
  <w:p>
    <w:pPr>
      <w:pStyle w:val="Rodap"/>
      <w:rPr>
        <w:sz w:val="12"/>
        <w:szCs w:val="12"/>
      </w:rPr>
    </w:pPr>
    <w:r>
      <w:rPr>
        <w:sz w:val="12"/>
        <w:szCs w:val="12"/>
      </w:rPr>
      <w:t>Termo de Referência - Modelo para Pregão Eletrônico: Serviços Contínuossem dedicação exclusiva de mão de obra</w:t>
    </w:r>
  </w:p>
  <w:p>
    <w:pPr>
      <w:pStyle w:val="Rodap"/>
      <w:rPr>
        <w:sz w:val="12"/>
        <w:szCs w:val="12"/>
      </w:rPr>
    </w:pPr>
    <w:r>
      <w:rPr>
        <w:sz w:val="12"/>
        <w:szCs w:val="12"/>
      </w:rPr>
      <w:t>Atualização: Outubro/2019</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4" w:hanging="360"/>
      </w:pPr>
    </w:lvl>
    <w:lvl w:ilvl="1">
      <w:start w:val="1"/>
      <w:numFmt w:val="decimal"/>
      <w:lvlText w:val="%1.%2."/>
      <w:lvlJc w:val="left"/>
      <w:pPr>
        <w:ind w:left="716" w:hanging="432"/>
      </w:pPr>
      <w:rPr>
        <w:i w:val="false"/>
        <w:b w:val="false"/>
        <w:color w:val="auto"/>
      </w:rPr>
    </w:lvl>
    <w:lvl w:ilvl="2">
      <w:start w:val="1"/>
      <w:numFmt w:val="decimal"/>
      <w:lvlText w:val="%1.%2.%3."/>
      <w:lvlJc w:val="left"/>
      <w:pPr>
        <w:ind w:left="1497" w:hanging="504"/>
      </w:pPr>
    </w:lvl>
    <w:lvl w:ilvl="3">
      <w:start w:val="1"/>
      <w:numFmt w:val="decimal"/>
      <w:lvlText w:val="%1.%2.%3.%4."/>
      <w:lvlJc w:val="left"/>
      <w:pPr>
        <w:ind w:left="2491" w:hanging="648"/>
      </w:pPr>
      <w:rPr>
        <w:i w:val="false"/>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7"/>
      <w:numFmt w:val="decimal"/>
      <w:lvlText w:val="%1."/>
      <w:lvlJc w:val="left"/>
      <w:pPr>
        <w:ind w:left="360" w:hanging="360"/>
      </w:pPr>
    </w:lvl>
    <w:lvl w:ilvl="1">
      <w:start w:val="1"/>
      <w:numFmt w:val="decimal"/>
      <w:lvlText w:val="%1.%2."/>
      <w:lvlJc w:val="left"/>
      <w:pPr>
        <w:ind w:left="792" w:hanging="432"/>
      </w:pPr>
      <w:rPr>
        <w:i w:val="false"/>
        <w:b w:val="false"/>
        <w:rFonts w:ascii="Arial" w:hAnsi="Arial"/>
      </w:rPr>
    </w:lvl>
    <w:lvl w:ilvl="2">
      <w:start w:val="1"/>
      <w:numFmt w:val="decimal"/>
      <w:lvlText w:val="%1.%2.%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7"/>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21"/>
      <w:numFmt w:val="decimal"/>
      <w:lvlText w:val="%1."/>
      <w:lvlJc w:val="left"/>
      <w:pPr>
        <w:ind w:left="360" w:hanging="360"/>
      </w:pPr>
    </w:lvl>
    <w:lvl w:ilvl="1">
      <w:start w:val="4"/>
      <w:numFmt w:val="decimal"/>
      <w:lvlText w:val="%1.%2."/>
      <w:lvlJc w:val="left"/>
      <w:pPr>
        <w:ind w:left="792" w:hanging="432"/>
      </w:pPr>
      <w:rPr>
        <w:i w:val="false"/>
        <w:b w:val="false"/>
      </w:rPr>
    </w:lvl>
    <w:lvl w:ilvl="2">
      <w:start w:val="1"/>
      <w:numFmt w:val="decimal"/>
      <w:lvlText w:val="%1.%2.%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22"/>
      <w:numFmt w:val="decimal"/>
      <w:lvlText w:val="%1."/>
      <w:lvlJc w:val="left"/>
      <w:pPr>
        <w:ind w:left="360" w:hanging="360"/>
      </w:pPr>
    </w:lvl>
    <w:lvl w:ilvl="1">
      <w:start w:val="1"/>
      <w:numFmt w:val="decimal"/>
      <w:lvlText w:val="%1.%2."/>
      <w:lvlJc w:val="left"/>
      <w:pPr>
        <w:ind w:left="792" w:hanging="432"/>
      </w:pPr>
      <w:rPr>
        <w:i w:val="false"/>
        <w:b/>
      </w:rPr>
    </w:lvl>
    <w:lvl w:ilvl="2">
      <w:start w:val="1"/>
      <w:numFmt w:val="decimal"/>
      <w:lvlText w:val="%1.%2.%3."/>
      <w:lvlJc w:val="left"/>
      <w:pPr>
        <w:ind w:left="1224" w:hanging="504"/>
      </w:pPr>
      <w:rPr>
        <w:b w:val="fals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20"/>
  <w:mirrorMargins/>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uiPriority="22" w:semiHidden="0" w:unhideWhenUsed="0" w:qFormat="1"/>
    <w:lsdException w:name="Emphasis" w:semiHidden="0" w:unhideWhenUsed="0" w:qFormat="1"/>
    <w:lsdException w:name="Normal (Web)" w:uiPriority="99"/>
    <w:lsdException w:name="Table Grid" w:uiPriority="39"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d390a"/>
    <w:pPr>
      <w:widowControl/>
      <w:bidi w:val="0"/>
      <w:jc w:val="left"/>
    </w:pPr>
    <w:rPr>
      <w:rFonts w:ascii="Arial" w:hAnsi="Arial" w:cs="Tahoma" w:eastAsia="Times New Roman"/>
      <w:color w:val="auto"/>
      <w:kern w:val="0"/>
      <w:sz w:val="20"/>
      <w:szCs w:val="24"/>
      <w:lang w:val="pt-BR" w:eastAsia="pt-BR" w:bidi="ar-SA"/>
    </w:rPr>
  </w:style>
  <w:style w:type="paragraph" w:styleId="Ttulo1">
    <w:name w:val="Heading 1"/>
    <w:basedOn w:val="Normal"/>
    <w:next w:val="Normal"/>
    <w:link w:val="Ttulo1Char"/>
    <w:qFormat/>
    <w:rsid w:val="000d390a"/>
    <w:pPr>
      <w:keepNext w:val="true"/>
      <w:keepLines/>
      <w:spacing w:before="240" w:after="0"/>
      <w:outlineLvl w:val="0"/>
    </w:pPr>
    <w:rPr>
      <w:rFonts w:ascii="Cambria" w:hAnsi="Cambria" w:eastAsia="ＭＳ ゴシック" w:cs="Times New Roman"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rsid w:val="00bf1a7f"/>
    <w:rPr>
      <w:color w:val="000080"/>
      <w:u w:val="single"/>
    </w:rPr>
  </w:style>
  <w:style w:type="character" w:styleId="CitaoChar" w:customStyle="1">
    <w:name w:val="Citação Char"/>
    <w:link w:val="Citao"/>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Annotationreference">
    <w:name w:val="annotation reference"/>
    <w:basedOn w:val="DefaultParagraphFont"/>
    <w:uiPriority w:val="99"/>
    <w:semiHidden/>
    <w:unhideWhenUsed/>
    <w:qFormat/>
    <w:rsid w:val="0015519e"/>
    <w:rPr>
      <w:sz w:val="16"/>
      <w:szCs w:val="16"/>
    </w:rPr>
  </w:style>
  <w:style w:type="character" w:styleId="TextodecomentrioChar" w:customStyle="1">
    <w:name w:val="Texto de comentário Char"/>
    <w:basedOn w:val="DefaultParagraphFont"/>
    <w:link w:val="Textodecomentrio"/>
    <w:uiPriority w:val="99"/>
    <w:qFormat/>
    <w:rsid w:val="0015519e"/>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15519e"/>
    <w:rPr>
      <w:rFonts w:ascii="Ecofont_Spranq_eco_Sans" w:hAnsi="Ecofont_Spranq_eco_Sans" w:cs="Tahoma"/>
      <w:b/>
      <w:bCs/>
    </w:rPr>
  </w:style>
  <w:style w:type="character" w:styleId="PlaceholderText">
    <w:name w:val="Placeholder Text"/>
    <w:basedOn w:val="DefaultParagraphFont"/>
    <w:uiPriority w:val="99"/>
    <w:semiHidden/>
    <w:qFormat/>
    <w:rsid w:val="00dd3355"/>
    <w:rPr>
      <w:color w:val="808080"/>
    </w:rPr>
  </w:style>
  <w:style w:type="character" w:styleId="CabealhoChar" w:customStyle="1">
    <w:name w:val="Cabeçalho Char"/>
    <w:basedOn w:val="DefaultParagraphFont"/>
    <w:link w:val="Cabealho"/>
    <w:qFormat/>
    <w:rsid w:val="00db64ef"/>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db64ef"/>
    <w:rPr>
      <w:rFonts w:ascii="Ecofont_Spranq_eco_Sans" w:hAnsi="Ecofont_Spranq_eco_Sans" w:cs="Tahoma"/>
      <w:sz w:val="24"/>
      <w:szCs w:val="24"/>
    </w:rPr>
  </w:style>
  <w:style w:type="character" w:styleId="Ttulo1Char" w:customStyle="1">
    <w:name w:val="Título 1 Char"/>
    <w:basedOn w:val="DefaultParagraphFont"/>
    <w:link w:val="Ttulo1"/>
    <w:qFormat/>
    <w:rsid w:val="000d390a"/>
    <w:rPr>
      <w:rFonts w:ascii="Cambria" w:hAnsi="Cambria" w:eastAsia="ＭＳ ゴシック" w:cs="Times New Roman"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0d390a"/>
    <w:rPr>
      <w:rFonts w:ascii="Arial" w:hAnsi="Arial" w:eastAsia="ＭＳ ゴシック" w:cs="Times New Roman" w:cstheme="majorBidi" w:eastAsiaTheme="majorEastAsia"/>
      <w:b/>
      <w:color w:val="000000"/>
      <w:sz w:val="32"/>
      <w:szCs w:val="32"/>
    </w:rPr>
  </w:style>
  <w:style w:type="character" w:styleId="QuoteChar" w:customStyle="1">
    <w:name w:val="Quote Char"/>
    <w:link w:val="Citao1"/>
    <w:uiPriority w:val="99"/>
    <w:qFormat/>
    <w:rsid w:val="00b222ee"/>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e014b9"/>
    <w:rPr/>
  </w:style>
  <w:style w:type="character" w:styleId="Nivel01Char" w:customStyle="1">
    <w:name w:val="Nivel 01 Char"/>
    <w:basedOn w:val="DefaultParagraphFont"/>
    <w:link w:val="Nivel01"/>
    <w:qFormat/>
    <w:locked/>
    <w:rsid w:val="0085196b"/>
    <w:rPr>
      <w:rFonts w:ascii="Arial" w:hAnsi="Arial" w:eastAsia="ＭＳ ゴシック" w:cs="Times New Roman" w:cstheme="majorBidi" w:eastAsiaTheme="majorEastAsia"/>
      <w:b/>
      <w:bCs/>
      <w:color w:val="000000"/>
      <w:sz w:val="32"/>
      <w:szCs w:val="32"/>
    </w:rPr>
  </w:style>
  <w:style w:type="character" w:styleId="Strong">
    <w:name w:val="Strong"/>
    <w:basedOn w:val="DefaultParagraphFont"/>
    <w:uiPriority w:val="22"/>
    <w:qFormat/>
    <w:rsid w:val="0085196b"/>
    <w:rPr>
      <w:b/>
      <w:bCs/>
    </w:rPr>
  </w:style>
  <w:style w:type="character" w:styleId="GradeColoridanfase1Char" w:customStyle="1">
    <w:name w:val="Grade Colorida - Ênfase 1 Char"/>
    <w:qFormat/>
    <w:rsid w:val="00dd3603"/>
    <w:rPr>
      <w:rFonts w:ascii="Ecofont_Spranq_eco_Sans" w:hAnsi="Ecofont_Spranq_eco_Sans" w:eastAsia="Calibri" w:cs="Ecofont_Spranq_eco_Sans"/>
      <w:i/>
      <w:iCs/>
      <w:color w:val="000000"/>
      <w:szCs w:val="24"/>
      <w:shd w:fill="FFFFCC" w:val="clear"/>
    </w:rPr>
  </w:style>
  <w:style w:type="character" w:styleId="WW8Num2z1" w:customStyle="1">
    <w:name w:val="WW8Num2z1"/>
    <w:qFormat/>
    <w:rsid w:val="007b7e1c"/>
    <w:rPr>
      <w:i w:val="false"/>
    </w:rPr>
  </w:style>
  <w:style w:type="character" w:styleId="Nivel2Char" w:customStyle="1">
    <w:name w:val="Nivel 2 Char"/>
    <w:basedOn w:val="DefaultParagraphFont"/>
    <w:link w:val="Nivel2"/>
    <w:qFormat/>
    <w:rsid w:val="00bb7bce"/>
    <w:rPr>
      <w:rFonts w:ascii="Ecofont_Spranq_eco_Sans" w:hAnsi="Ecofont_Spranq_eco_Sans" w:eastAsia="Arial Unicode MS"/>
    </w:rPr>
  </w:style>
  <w:style w:type="character" w:styleId="PargrafodaListaChar" w:customStyle="1">
    <w:name w:val="Parágrafo da Lista Char"/>
    <w:link w:val="PargrafodaLista"/>
    <w:qFormat/>
    <w:rsid w:val="00e22e7e"/>
    <w:rPr>
      <w:rFonts w:ascii="Arial" w:hAnsi="Arial" w:cs="Tahoma"/>
      <w:szCs w:val="24"/>
    </w:rPr>
  </w:style>
  <w:style w:type="character" w:styleId="ListLabel1" w:customStyle="1">
    <w:name w:val="ListLabel 1"/>
    <w:qFormat/>
    <w:rPr>
      <w:b/>
      <w:i w:val="false"/>
      <w:color w:val="auto"/>
    </w:rPr>
  </w:style>
  <w:style w:type="character" w:styleId="ListLabel2" w:customStyle="1">
    <w:name w:val="ListLabel 2"/>
    <w:qFormat/>
    <w:rPr>
      <w:i w:val="false"/>
    </w:rPr>
  </w:style>
  <w:style w:type="character" w:styleId="ListLabel3" w:customStyle="1">
    <w:name w:val="ListLabel 3"/>
    <w:qFormat/>
    <w:rPr>
      <w:b w:val="false"/>
      <w:i w:val="false"/>
    </w:rPr>
  </w:style>
  <w:style w:type="character" w:styleId="ListLabel4" w:customStyle="1">
    <w:name w:val="ListLabel 4"/>
    <w:qFormat/>
    <w:rPr>
      <w:rFonts w:ascii="Arial" w:hAnsi="Arial"/>
      <w:b w:val="false"/>
      <w:sz w:val="20"/>
    </w:rPr>
  </w:style>
  <w:style w:type="character" w:styleId="ListLabel5" w:customStyle="1">
    <w:name w:val="ListLabel 5"/>
    <w:qFormat/>
    <w:rPr>
      <w:b/>
      <w:i w:val="false"/>
    </w:rPr>
  </w:style>
  <w:style w:type="character" w:styleId="ListLabel6" w:customStyle="1">
    <w:name w:val="ListLabel 6"/>
    <w:qFormat/>
    <w:rPr>
      <w:b w:val="false"/>
      <w:i w:val="false"/>
      <w:color w:val="auto"/>
    </w:rPr>
  </w:style>
  <w:style w:type="character" w:styleId="ListLabel7" w:customStyle="1">
    <w:name w:val="ListLabel 7"/>
    <w:qFormat/>
    <w:rPr>
      <w:b w:val="false"/>
      <w:i w:val="false"/>
    </w:rPr>
  </w:style>
  <w:style w:type="character" w:styleId="ListLabel8" w:customStyle="1">
    <w:name w:val="ListLabel 8"/>
    <w:qFormat/>
    <w:rPr>
      <w:b/>
      <w:i w:val="false"/>
    </w:rPr>
  </w:style>
  <w:style w:type="character" w:styleId="ListLabel9" w:customStyle="1">
    <w:name w:val="ListLabel 9"/>
    <w:qFormat/>
    <w:rPr>
      <w:b/>
      <w:i w:val="false"/>
    </w:rPr>
  </w:style>
  <w:style w:type="character" w:styleId="ListLabel10" w:customStyle="1">
    <w:name w:val="ListLabel 10"/>
    <w:qFormat/>
    <w:rPr>
      <w:b/>
      <w:i w:val="false"/>
      <w:color w:val="auto"/>
    </w:rPr>
  </w:style>
  <w:style w:type="character" w:styleId="ListLabel11" w:customStyle="1">
    <w:name w:val="ListLabel 11"/>
    <w:qFormat/>
    <w:rPr>
      <w:i w:val="false"/>
    </w:rPr>
  </w:style>
  <w:style w:type="character" w:styleId="ListLabel12" w:customStyle="1">
    <w:name w:val="ListLabel 12"/>
    <w:qFormat/>
    <w:rPr>
      <w:b/>
      <w:i w:val="false"/>
      <w:strike w:val="false"/>
      <w:dstrike w:val="false"/>
    </w:rPr>
  </w:style>
  <w:style w:type="character" w:styleId="ListLabel13" w:customStyle="1">
    <w:name w:val="ListLabel 13"/>
    <w:qFormat/>
    <w:rPr>
      <w:rFonts w:ascii="Arial" w:hAnsi="Arial"/>
      <w:b w:val="false"/>
      <w:strike w:val="false"/>
      <w:dstrike w:val="false"/>
    </w:rPr>
  </w:style>
  <w:style w:type="character" w:styleId="ListLabel14" w:customStyle="1">
    <w:name w:val="ListLabel 14"/>
    <w:qFormat/>
    <w:rPr>
      <w:i w:val="false"/>
      <w:strike w:val="false"/>
      <w:dstrike w:val="false"/>
    </w:rPr>
  </w:style>
  <w:style w:type="character" w:styleId="ListLabel15" w:customStyle="1">
    <w:name w:val="ListLabel 15"/>
    <w:qFormat/>
    <w:rPr>
      <w:b w:val="false"/>
      <w:i w:val="false"/>
    </w:rPr>
  </w:style>
  <w:style w:type="character" w:styleId="ListLabel16" w:customStyle="1">
    <w:name w:val="ListLabel 16"/>
    <w:qFormat/>
    <w:rPr>
      <w:b w:val="false"/>
    </w:rPr>
  </w:style>
  <w:style w:type="character" w:styleId="ListLabel17" w:customStyle="1">
    <w:name w:val="ListLabel 17"/>
    <w:qFormat/>
    <w:rPr>
      <w:b w:val="false"/>
      <w:i w:val="false"/>
    </w:rPr>
  </w:style>
  <w:style w:type="character" w:styleId="ListLabel18" w:customStyle="1">
    <w:name w:val="ListLabel 18"/>
    <w:qFormat/>
    <w:rPr>
      <w:b w:val="false"/>
    </w:rPr>
  </w:style>
  <w:style w:type="character" w:styleId="ListLabel19" w:customStyle="1">
    <w:name w:val="ListLabel 19"/>
    <w:qFormat/>
    <w:rPr>
      <w:b w:val="false"/>
      <w:i w:val="false"/>
    </w:rPr>
  </w:style>
  <w:style w:type="character" w:styleId="ListLabel20" w:customStyle="1">
    <w:name w:val="ListLabel 20"/>
    <w:qFormat/>
    <w:rPr>
      <w:b w:val="false"/>
    </w:rPr>
  </w:style>
  <w:style w:type="character" w:styleId="ListLabel21" w:customStyle="1">
    <w:name w:val="ListLabel 21"/>
    <w:qFormat/>
    <w:rPr>
      <w:b/>
      <w:i w:val="false"/>
    </w:rPr>
  </w:style>
  <w:style w:type="character" w:styleId="ListLabel22" w:customStyle="1">
    <w:name w:val="ListLabel 22"/>
    <w:qFormat/>
    <w:rPr>
      <w:b w:val="false"/>
    </w:rPr>
  </w:style>
  <w:style w:type="character" w:styleId="ListLabel23" w:customStyle="1">
    <w:name w:val="ListLabel 23"/>
    <w:qFormat/>
    <w:rPr>
      <w:i w:val="false"/>
      <w:color w:val="auto"/>
    </w:rPr>
  </w:style>
  <w:style w:type="character" w:styleId="ListLabel24" w:customStyle="1">
    <w:name w:val="ListLabel 24"/>
    <w:qFormat/>
    <w:rPr>
      <w:i w:val="false"/>
    </w:rPr>
  </w:style>
  <w:style w:type="character" w:styleId="ListLabel25" w:customStyle="1">
    <w:name w:val="ListLabel 25"/>
    <w:qFormat/>
    <w:rPr>
      <w:b w:val="false"/>
      <w:i w:val="false"/>
      <w:color w:val="auto"/>
    </w:rPr>
  </w:style>
  <w:style w:type="character" w:styleId="ListLabel26" w:customStyle="1">
    <w:name w:val="ListLabel 26"/>
    <w:qFormat/>
    <w:rPr>
      <w:i w:val="false"/>
    </w:rPr>
  </w:style>
  <w:style w:type="character" w:styleId="ListLabel27" w:customStyle="1">
    <w:name w:val="ListLabel 27"/>
    <w:qFormat/>
    <w:rPr>
      <w:rFonts w:ascii="Arial" w:hAnsi="Arial"/>
      <w:b w:val="false"/>
      <w:i w:val="false"/>
    </w:rPr>
  </w:style>
  <w:style w:type="character" w:styleId="ListLabel28" w:customStyle="1">
    <w:name w:val="ListLabel 28"/>
    <w:qFormat/>
    <w:rPr>
      <w:rFonts w:ascii="Arial" w:hAnsi="Arial"/>
      <w:b w:val="false"/>
      <w:sz w:val="20"/>
    </w:rPr>
  </w:style>
  <w:style w:type="character" w:styleId="ListLabel29" w:customStyle="1">
    <w:name w:val="ListLabel 29"/>
    <w:qFormat/>
    <w:rPr>
      <w:b w:val="false"/>
      <w:i w:val="false"/>
    </w:rPr>
  </w:style>
  <w:style w:type="character" w:styleId="ListLabel30" w:customStyle="1">
    <w:name w:val="ListLabel 30"/>
    <w:qFormat/>
    <w:rPr>
      <w:b w:val="false"/>
    </w:rPr>
  </w:style>
  <w:style w:type="character" w:styleId="ListLabel31" w:customStyle="1">
    <w:name w:val="ListLabel 31"/>
    <w:qFormat/>
    <w:rPr>
      <w:b w:val="false"/>
      <w:i w:val="false"/>
    </w:rPr>
  </w:style>
  <w:style w:type="character" w:styleId="ListLabel32" w:customStyle="1">
    <w:name w:val="ListLabel 32"/>
    <w:qFormat/>
    <w:rPr>
      <w:b w:val="false"/>
    </w:rPr>
  </w:style>
  <w:style w:type="character" w:styleId="ListLabel33" w:customStyle="1">
    <w:name w:val="ListLabel 33"/>
    <w:qFormat/>
    <w:rPr>
      <w:b/>
      <w:i w:val="false"/>
    </w:rPr>
  </w:style>
  <w:style w:type="character" w:styleId="ListLabel34" w:customStyle="1">
    <w:name w:val="ListLabel 34"/>
    <w:qFormat/>
    <w:rPr>
      <w:b w:val="false"/>
    </w:rPr>
  </w:style>
  <w:style w:type="character" w:styleId="ListLabel35" w:customStyle="1">
    <w:name w:val="ListLabel 35"/>
    <w:qFormat/>
    <w:rPr>
      <w:i w:val="false"/>
      <w:color w:val="auto"/>
    </w:rPr>
  </w:style>
  <w:style w:type="character" w:styleId="ListLabel36" w:customStyle="1">
    <w:name w:val="ListLabel 36"/>
    <w:qFormat/>
    <w:rPr>
      <w:i w:val="false"/>
    </w:rPr>
  </w:style>
  <w:style w:type="character" w:styleId="ListLabel37">
    <w:name w:val="ListLabel 37"/>
    <w:qFormat/>
    <w:rPr>
      <w:b w:val="false"/>
      <w:i w:val="false"/>
      <w:color w:val="auto"/>
    </w:rPr>
  </w:style>
  <w:style w:type="character" w:styleId="ListLabel38">
    <w:name w:val="ListLabel 38"/>
    <w:qFormat/>
    <w:rPr>
      <w:i w:val="false"/>
    </w:rPr>
  </w:style>
  <w:style w:type="character" w:styleId="ListLabel39">
    <w:name w:val="ListLabel 39"/>
    <w:qFormat/>
    <w:rPr>
      <w:rFonts w:ascii="Arial" w:hAnsi="Arial"/>
      <w:b w:val="false"/>
      <w:i w:val="false"/>
    </w:rPr>
  </w:style>
  <w:style w:type="character" w:styleId="ListLabel40">
    <w:name w:val="ListLabel 40"/>
    <w:qFormat/>
    <w:rPr>
      <w:rFonts w:ascii="Arial" w:hAnsi="Arial"/>
      <w:b w:val="false"/>
      <w:sz w:val="20"/>
    </w:rPr>
  </w:style>
  <w:style w:type="character" w:styleId="ListLabel41">
    <w:name w:val="ListLabel 41"/>
    <w:qFormat/>
    <w:rPr>
      <w:b w:val="false"/>
      <w:i w:val="false"/>
    </w:rPr>
  </w:style>
  <w:style w:type="character" w:styleId="ListLabel42">
    <w:name w:val="ListLabel 42"/>
    <w:qFormat/>
    <w:rPr>
      <w:b w:val="false"/>
    </w:rPr>
  </w:style>
  <w:style w:type="character" w:styleId="ListLabel43">
    <w:name w:val="ListLabel 43"/>
    <w:qFormat/>
    <w:rPr>
      <w:b w:val="false"/>
      <w:i w:val="false"/>
    </w:rPr>
  </w:style>
  <w:style w:type="character" w:styleId="ListLabel44">
    <w:name w:val="ListLabel 44"/>
    <w:qFormat/>
    <w:rPr>
      <w:b w:val="false"/>
    </w:rPr>
  </w:style>
  <w:style w:type="character" w:styleId="ListLabel45">
    <w:name w:val="ListLabel 45"/>
    <w:qFormat/>
    <w:rPr>
      <w:b/>
      <w:i w:val="false"/>
    </w:rPr>
  </w:style>
  <w:style w:type="character" w:styleId="ListLabel46">
    <w:name w:val="ListLabel 46"/>
    <w:qFormat/>
    <w:rPr>
      <w:b w:val="false"/>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qFormat/>
    <w:pPr>
      <w:keepNext w:val="true"/>
      <w:spacing w:before="240" w:after="120"/>
    </w:pPr>
    <w:rPr>
      <w:rFonts w:ascii="Liberation Sans" w:hAnsi="Liberation Sans" w:eastAsia="Noto Sans CJK SC" w:cs="Lohit Devanagari"/>
      <w:sz w:val="28"/>
      <w:szCs w:val="28"/>
    </w:rPr>
  </w:style>
  <w:style w:type="paragraph" w:styleId="Caption">
    <w:name w:val="caption"/>
    <w:basedOn w:val="Normal"/>
    <w:qFormat/>
    <w:pPr>
      <w:suppressLineNumbers/>
      <w:spacing w:before="120" w:after="120"/>
    </w:pPr>
    <w:rPr>
      <w:rFonts w:cs="Lohit Devanagari"/>
      <w:i/>
      <w:iCs/>
      <w:sz w:val="24"/>
    </w:rPr>
  </w:style>
  <w:style w:type="paragraph" w:styleId="ListParagraph">
    <w:name w:val="List Paragraph"/>
    <w:basedOn w:val="Normal"/>
    <w:link w:val="PargrafodaListaChar"/>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cs="Times New Roman"/>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fill="FFFFCC" w:val="clear"/>
    </w:pPr>
    <w:rPr>
      <w:szCs w:val="20"/>
    </w:rPr>
  </w:style>
  <w:style w:type="paragraph" w:styleId="Annotationtext">
    <w:name w:val="annotation text"/>
    <w:basedOn w:val="Normal"/>
    <w:link w:val="TextodecomentrioChar"/>
    <w:uiPriority w:val="99"/>
    <w:unhideWhenUsed/>
    <w:qFormat/>
    <w:rsid w:val="0015519e"/>
    <w:pPr/>
    <w:rPr>
      <w:szCs w:val="20"/>
    </w:rPr>
  </w:style>
  <w:style w:type="paragraph" w:styleId="Annotationsubject">
    <w:name w:val="annotation subject"/>
    <w:basedOn w:val="Annotationtext"/>
    <w:link w:val="AssuntodocomentrioChar"/>
    <w:semiHidden/>
    <w:unhideWhenUsed/>
    <w:qFormat/>
    <w:rsid w:val="0015519e"/>
    <w:pPr/>
    <w:rPr>
      <w:b/>
      <w:bCs/>
    </w:rPr>
  </w:style>
  <w:style w:type="paragraph" w:styleId="Cabealho">
    <w:name w:val="Header"/>
    <w:basedOn w:val="Normal"/>
    <w:link w:val="CabealhoChar"/>
    <w:unhideWhenUsed/>
    <w:rsid w:val="00db64ef"/>
    <w:pPr>
      <w:tabs>
        <w:tab w:val="center" w:pos="4252" w:leader="none"/>
        <w:tab w:val="right" w:pos="8504" w:leader="none"/>
      </w:tabs>
    </w:pPr>
    <w:rPr/>
  </w:style>
  <w:style w:type="paragraph" w:styleId="Rodap">
    <w:name w:val="Footer"/>
    <w:basedOn w:val="Normal"/>
    <w:link w:val="RodapChar"/>
    <w:uiPriority w:val="99"/>
    <w:unhideWhenUsed/>
    <w:rsid w:val="00db64ef"/>
    <w:pPr>
      <w:tabs>
        <w:tab w:val="center" w:pos="4252" w:leader="none"/>
        <w:tab w:val="right" w:pos="8504" w:leader="none"/>
      </w:tabs>
    </w:pPr>
    <w:rPr/>
  </w:style>
  <w:style w:type="paragraph" w:styleId="Nivel1" w:customStyle="1">
    <w:name w:val="Nivel1"/>
    <w:basedOn w:val="Ttulo1"/>
    <w:link w:val="Nivel1Char"/>
    <w:qFormat/>
    <w:rsid w:val="000d390a"/>
    <w:pPr>
      <w:spacing w:lineRule="auto" w:line="276" w:before="480" w:after="0"/>
      <w:jc w:val="both"/>
    </w:pPr>
    <w:rPr>
      <w:rFonts w:ascii="Arial" w:hAnsi="Arial" w:cs="Times New Roman"/>
      <w:b/>
      <w:color w:val="000000"/>
      <w:sz w:val="20"/>
      <w:szCs w:val="20"/>
    </w:rPr>
  </w:style>
  <w:style w:type="paragraph" w:styleId="Revision">
    <w:name w:val="Revision"/>
    <w:uiPriority w:val="99"/>
    <w:semiHidden/>
    <w:qFormat/>
    <w:rsid w:val="00656f07"/>
    <w:pPr>
      <w:widowControl/>
      <w:bidi w:val="0"/>
      <w:jc w:val="left"/>
    </w:pPr>
    <w:rPr>
      <w:rFonts w:ascii="Arial" w:hAnsi="Arial" w:cs="Tahoma" w:eastAsia="Times New Roman"/>
      <w:color w:val="auto"/>
      <w:kern w:val="0"/>
      <w:sz w:val="20"/>
      <w:szCs w:val="24"/>
      <w:lang w:val="pt-BR" w:eastAsia="pt-BR" w:bidi="ar-SA"/>
    </w:rPr>
  </w:style>
  <w:style w:type="paragraph" w:styleId="PargrafodaLista1" w:customStyle="1">
    <w:name w:val="Parágrafo da Lista1"/>
    <w:basedOn w:val="Normal"/>
    <w:qFormat/>
    <w:rsid w:val="00b222ee"/>
    <w:pPr>
      <w:ind w:left="720" w:hanging="0"/>
    </w:pPr>
    <w:rPr>
      <w:rFonts w:ascii="Ecofont_Spranq_eco_Sans" w:hAnsi="Ecofont_Spranq_eco_Sans" w:cs="Ecofont_Spranq_eco_Sans"/>
      <w:sz w:val="24"/>
    </w:rPr>
  </w:style>
  <w:style w:type="paragraph" w:styleId="Citao1" w:customStyle="1">
    <w:name w:val="Citação1"/>
    <w:basedOn w:val="Normal"/>
    <w:next w:val="Normal"/>
    <w:link w:val="QuoteChar"/>
    <w:qFormat/>
    <w:rsid w:val="00b222ee"/>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Ecofont_Spranq_eco_Sans"/>
      <w:i/>
      <w:iCs/>
      <w:color w:val="000000"/>
      <w:sz w:val="24"/>
      <w:shd w:fill="FFFFCC" w:val="clear"/>
      <w:lang w:eastAsia="en-US"/>
    </w:rPr>
  </w:style>
  <w:style w:type="paragraph" w:styleId="SombreamentoMdio1nfase31" w:customStyle="1">
    <w:name w:val="Sombreamento Médio 1 - Ênfase 31"/>
    <w:basedOn w:val="Normal"/>
    <w:next w:val="Normal"/>
    <w:qFormat/>
    <w:rsid w:val="00e014b9"/>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Nivel01" w:customStyle="1">
    <w:name w:val="Nivel 01"/>
    <w:basedOn w:val="Ttulo1"/>
    <w:next w:val="Normal"/>
    <w:link w:val="Nivel01Char"/>
    <w:qFormat/>
    <w:rsid w:val="0085196b"/>
    <w:pPr>
      <w:spacing w:lineRule="auto" w:line="276" w:before="480" w:after="120"/>
      <w:ind w:left="360" w:right="-15" w:hanging="360"/>
      <w:jc w:val="both"/>
    </w:pPr>
    <w:rPr>
      <w:rFonts w:ascii="Arial" w:hAnsi="Arial"/>
      <w:b/>
      <w:bCs/>
      <w:color w:val="000000"/>
    </w:rPr>
  </w:style>
  <w:style w:type="paragraph" w:styleId="Textojustificado" w:customStyle="1">
    <w:name w:val="texto_justificado"/>
    <w:basedOn w:val="Normal"/>
    <w:qFormat/>
    <w:rsid w:val="0085196b"/>
    <w:pPr>
      <w:spacing w:beforeAutospacing="1" w:afterAutospacing="1"/>
    </w:pPr>
    <w:rPr>
      <w:rFonts w:ascii="Times New Roman" w:hAnsi="Times New Roman" w:cs="Times New Roman"/>
      <w:sz w:val="24"/>
    </w:rPr>
  </w:style>
  <w:style w:type="paragraph" w:styleId="Nivel011" w:customStyle="1">
    <w:name w:val="Nivel_01"/>
    <w:basedOn w:val="Ttulo1"/>
    <w:qFormat/>
    <w:rsid w:val="00b75c3f"/>
    <w:pPr>
      <w:tabs>
        <w:tab w:val="left" w:pos="360" w:leader="none"/>
        <w:tab w:val="left" w:pos="567" w:leader="none"/>
      </w:tabs>
      <w:jc w:val="both"/>
    </w:pPr>
    <w:rPr>
      <w:rFonts w:ascii="Ecofont_Spranq_eco_Sans" w:hAnsi="Ecofont_Spranq_eco_Sans" w:cs="Times New Roman"/>
      <w:b/>
      <w:bCs/>
      <w:color w:val="auto"/>
      <w:sz w:val="20"/>
      <w:szCs w:val="20"/>
    </w:rPr>
  </w:style>
  <w:style w:type="paragraph" w:styleId="GradeColoridanfase11" w:customStyle="1">
    <w:name w:val="Grade Colorida - Ênfase 11"/>
    <w:basedOn w:val="Normal"/>
    <w:next w:val="Normal"/>
    <w:uiPriority w:val="29"/>
    <w:qFormat/>
    <w:rsid w:val="00dd360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cs="Ecofont_Spranq_eco_Sans"/>
      <w:i/>
      <w:iCs/>
      <w:color w:val="000000"/>
    </w:rPr>
  </w:style>
  <w:style w:type="paragraph" w:styleId="PargrafodaLista2" w:customStyle="1">
    <w:name w:val="Parágrafo da Lista2"/>
    <w:basedOn w:val="Normal"/>
    <w:qFormat/>
    <w:rsid w:val="001c3ab6"/>
    <w:pPr>
      <w:ind w:left="720" w:hanging="0"/>
    </w:pPr>
    <w:rPr>
      <w:rFonts w:ascii="Ecofont_Spranq_eco_Sans" w:hAnsi="Ecofont_Spranq_eco_Sans"/>
      <w:sz w:val="24"/>
    </w:rPr>
  </w:style>
  <w:style w:type="paragraph" w:styleId="GradeColoridanfase110" w:customStyle="1">
    <w:name w:val="Grade Colorida - Ênfase 110"/>
    <w:basedOn w:val="Normal"/>
    <w:next w:val="Normal"/>
    <w:qFormat/>
    <w:rsid w:val="006f426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i/>
      <w:color w:val="000000"/>
      <w:sz w:val="24"/>
      <w:lang w:eastAsia="en-US"/>
    </w:rPr>
  </w:style>
  <w:style w:type="paragraph" w:styleId="Nivel2" w:customStyle="1">
    <w:name w:val="Nivel 2"/>
    <w:link w:val="Nivel2Char"/>
    <w:qFormat/>
    <w:rsid w:val="00bb7bce"/>
    <w:pPr>
      <w:widowControl/>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bb7bce"/>
    <w:pPr>
      <w:ind w:left="644" w:hanging="0"/>
    </w:pPr>
    <w:rPr>
      <w:rFonts w:cs="Arial"/>
      <w:b/>
    </w:rPr>
  </w:style>
  <w:style w:type="paragraph" w:styleId="Nivel3" w:customStyle="1">
    <w:name w:val="Nivel 3"/>
    <w:basedOn w:val="Nivel2"/>
    <w:qFormat/>
    <w:rsid w:val="00bb7bce"/>
    <w:pPr>
      <w:ind w:left="1922" w:hanging="0"/>
    </w:pPr>
    <w:rPr>
      <w:rFonts w:cs="Arial"/>
      <w:color w:val="000000"/>
    </w:rPr>
  </w:style>
  <w:style w:type="paragraph" w:styleId="Nivel4" w:customStyle="1">
    <w:name w:val="Nivel 4"/>
    <w:basedOn w:val="Nivel3"/>
    <w:qFormat/>
    <w:rsid w:val="00bb7bce"/>
    <w:pPr>
      <w:ind w:left="2491" w:hanging="0"/>
    </w:pPr>
    <w:rPr>
      <w:color w:val="auto"/>
    </w:rPr>
  </w:style>
  <w:style w:type="paragraph" w:styleId="Nivel5" w:customStyle="1">
    <w:name w:val="Nivel 5"/>
    <w:basedOn w:val="Nivel4"/>
    <w:qFormat/>
    <w:rsid w:val="00bb7bce"/>
    <w:pPr>
      <w:ind w:left="3485" w:hanging="0"/>
    </w:pPr>
    <w:rPr/>
  </w:style>
  <w:style w:type="paragraph" w:styleId="Default" w:customStyle="1">
    <w:name w:val="Default"/>
    <w:qFormat/>
    <w:rsid w:val="00a2225b"/>
    <w:pPr>
      <w:widowControl/>
      <w:bidi w:val="0"/>
      <w:jc w:val="left"/>
    </w:pPr>
    <w:rPr>
      <w:rFonts w:ascii="Arial" w:hAnsi="Arial" w:cs="Arial" w:eastAsia="Times New Roman"/>
      <w:color w:val="000000"/>
      <w:kern w:val="0"/>
      <w:sz w:val="24"/>
      <w:szCs w:val="24"/>
      <w:lang w:val="pt-BR" w:eastAsia="pt-BR" w:bidi="ar-SA"/>
    </w:rPr>
  </w:style>
  <w:style w:type="paragraph" w:styleId="ANEXO" w:customStyle="1">
    <w:name w:val="ANEXO"/>
    <w:basedOn w:val="Normal"/>
    <w:uiPriority w:val="99"/>
    <w:qFormat/>
    <w:rsid w:val="008726de"/>
    <w:pPr>
      <w:tabs>
        <w:tab w:val="left" w:pos="240" w:leader="none"/>
      </w:tabs>
      <w:ind w:left="1134" w:hanging="1134"/>
      <w:jc w:val="both"/>
    </w:pPr>
    <w:rPr>
      <w:rFonts w:ascii="Futura Bk BT" w:hAnsi="Futura Bk BT" w:cs="Futura Bk BT"/>
      <w:szCs w:val="20"/>
    </w:rPr>
  </w:style>
  <w:style w:type="paragraph" w:styleId="Xl31" w:customStyle="1">
    <w:name w:val="xl31"/>
    <w:basedOn w:val="Normal"/>
    <w:uiPriority w:val="99"/>
    <w:qFormat/>
    <w:rsid w:val="008726de"/>
    <w:pPr>
      <w:pBdr>
        <w:right w:val="single" w:sz="4" w:space="0" w:color="000000"/>
      </w:pBdr>
      <w:spacing w:beforeAutospacing="1" w:afterAutospacing="1"/>
    </w:pPr>
    <w:rPr>
      <w:rFonts w:cs="Arial"/>
      <w:b/>
      <w:bCs/>
      <w:sz w:val="24"/>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85196b"/>
    <w:rPr>
      <w:rFonts w:eastAsiaTheme="minorEastAsia"/>
      <w:lang w:eastAsia="en-US"/>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ED5EA-B1F6-495E-8F62-059CE9401AB4}">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http://www.w3.org/XML/1998/namespace"/>
    <ds:schemaRef ds:uri="52c93ea8-e2de-466c-b401-d7fabeb9490e"/>
    <ds:schemaRef ds:uri="http://schemas.openxmlformats.org/package/2006/metadata/core-properties"/>
  </ds:schemaRefs>
</ds:datastoreItem>
</file>

<file path=customXml/itemProps2.xml><?xml version="1.0" encoding="utf-8"?>
<ds:datastoreItem xmlns:ds="http://schemas.openxmlformats.org/officeDocument/2006/customXml" ds:itemID="{95B6A0C5-2230-4911-B334-8B1FF6D7A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0AF8D-FA7F-4421-83F2-1DEE7390EB09}">
  <ds:schemaRefs>
    <ds:schemaRef ds:uri="http://schemas.microsoft.com/sharepoint/v3/contenttype/forms"/>
  </ds:schemaRefs>
</ds:datastoreItem>
</file>

<file path=customXml/itemProps4.xml><?xml version="1.0" encoding="utf-8"?>
<ds:datastoreItem xmlns:ds="http://schemas.openxmlformats.org/officeDocument/2006/customXml" ds:itemID="{B4E2ADE4-B430-4D51-8E33-27FCC7718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Application>LibreOffice/6.0.7.3$Linux_X86_64 LibreOffice_project/00m0$Build-3</Application>
  <Pages>18</Pages>
  <Words>6975</Words>
  <Characters>39497</Characters>
  <CharactersWithSpaces>46021</CharactersWithSpaces>
  <Paragraphs>463</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2020-10-05T20:29:00Z</dcterms:created>
  <dc:creator>Adriano</dc:creator>
  <dc:description/>
  <dc:language>pt-BR</dc:language>
  <cp:lastModifiedBy/>
  <cp:lastPrinted>2020-09-11T12:49:00Z</cp:lastPrinted>
  <dcterms:modified xsi:type="dcterms:W3CDTF">2020-10-29T09:18:52Z</dcterms:modified>
  <cp:revision>6</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